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text" w:horzAnchor="margin" w:tblpY="-159"/>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5"/>
        <w:gridCol w:w="2646"/>
        <w:gridCol w:w="1798"/>
        <w:gridCol w:w="3741"/>
      </w:tblGrid>
      <w:tr w:rsidR="008F3A58" w:rsidRPr="00420E12" w:rsidTr="008F3A58">
        <w:trPr>
          <w:trHeight w:val="295"/>
        </w:trPr>
        <w:tc>
          <w:tcPr>
            <w:tcW w:w="5079" w:type="dxa"/>
            <w:gridSpan w:val="3"/>
          </w:tcPr>
          <w:p w:rsidR="008F3A58" w:rsidRPr="00420E12" w:rsidRDefault="008F3A58" w:rsidP="008F3A58">
            <w:pPr>
              <w:jc w:val="both"/>
              <w:rPr>
                <w:rFonts w:ascii="Arial" w:hAnsi="Arial"/>
                <w:b/>
                <w:bCs/>
                <w:sz w:val="26"/>
                <w:szCs w:val="26"/>
                <w:rtl/>
              </w:rPr>
            </w:pPr>
            <w:bookmarkStart w:id="0" w:name="_GoBack"/>
            <w:bookmarkEnd w:id="0"/>
          </w:p>
          <w:p w:rsidR="008F3A58" w:rsidRPr="00420E12" w:rsidRDefault="008F3A58" w:rsidP="008F3A58">
            <w:pPr>
              <w:ind w:firstLine="720"/>
              <w:rPr>
                <w:rFonts w:ascii="Arial" w:hAnsi="Arial"/>
                <w:sz w:val="26"/>
                <w:szCs w:val="26"/>
                <w:rtl/>
              </w:rPr>
            </w:pPr>
          </w:p>
        </w:tc>
        <w:tc>
          <w:tcPr>
            <w:tcW w:w="3741" w:type="dxa"/>
          </w:tcPr>
          <w:p w:rsidR="006124F1" w:rsidRDefault="006124F1">
            <w:pPr>
              <w:rPr>
                <w:rFonts w:ascii="Arial" w:hAnsi="Arial"/>
                <w:b/>
                <w:bCs/>
                <w:sz w:val="26"/>
                <w:szCs w:val="26"/>
              </w:rPr>
            </w:pPr>
          </w:p>
          <w:p w:rsidR="008F3A58" w:rsidRPr="00420E12" w:rsidRDefault="008F3A58" w:rsidP="008F3A58">
            <w:pPr>
              <w:jc w:val="both"/>
              <w:rPr>
                <w:rFonts w:ascii="Arial" w:hAnsi="Arial"/>
                <w:b/>
                <w:bCs/>
                <w:sz w:val="26"/>
                <w:szCs w:val="26"/>
                <w:rtl/>
              </w:rPr>
            </w:pPr>
          </w:p>
        </w:tc>
      </w:tr>
      <w:tr w:rsidR="008F3A58" w:rsidRPr="00420E12" w:rsidTr="008F3A58">
        <w:trPr>
          <w:trHeight w:val="295"/>
        </w:trPr>
        <w:tc>
          <w:tcPr>
            <w:tcW w:w="635" w:type="dxa"/>
          </w:tcPr>
          <w:p w:rsidR="008F3A58" w:rsidRPr="00420E12" w:rsidRDefault="008F3A58" w:rsidP="008F3A58">
            <w:pPr>
              <w:jc w:val="both"/>
              <w:rPr>
                <w:rFonts w:ascii="Arial" w:hAnsi="Arial"/>
                <w:b/>
                <w:bCs/>
                <w:sz w:val="26"/>
                <w:szCs w:val="26"/>
              </w:rPr>
            </w:pPr>
            <w:r w:rsidRPr="00420E12">
              <w:rPr>
                <w:rFonts w:ascii="Arial" w:hAnsi="Arial" w:hint="cs"/>
                <w:b/>
                <w:bCs/>
                <w:sz w:val="26"/>
                <w:szCs w:val="26"/>
                <w:rtl/>
              </w:rPr>
              <w:t>ל</w:t>
            </w:r>
            <w:r w:rsidRPr="00420E12">
              <w:rPr>
                <w:rFonts w:ascii="Arial" w:hAnsi="Arial"/>
                <w:b/>
                <w:bCs/>
                <w:sz w:val="26"/>
                <w:szCs w:val="26"/>
                <w:rtl/>
              </w:rPr>
              <w:t xml:space="preserve">פני </w:t>
            </w:r>
          </w:p>
        </w:tc>
        <w:tc>
          <w:tcPr>
            <w:tcW w:w="8185" w:type="dxa"/>
            <w:gridSpan w:val="3"/>
          </w:tcPr>
          <w:p w:rsidR="008F3A58" w:rsidRPr="00420E12" w:rsidRDefault="008F3A58" w:rsidP="008F3A58">
            <w:pPr>
              <w:rPr>
                <w:rFonts w:ascii="Arial" w:hAnsi="Arial"/>
                <w:b/>
                <w:bCs/>
                <w:sz w:val="26"/>
                <w:szCs w:val="26"/>
                <w:rtl/>
              </w:rPr>
            </w:pPr>
            <w:r w:rsidRPr="00420E12">
              <w:rPr>
                <w:rFonts w:ascii="Arial" w:hAnsi="Arial" w:hint="cs"/>
                <w:b/>
                <w:bCs/>
                <w:sz w:val="26"/>
                <w:szCs w:val="26"/>
                <w:rtl/>
              </w:rPr>
              <w:t xml:space="preserve">כב' </w:t>
            </w:r>
            <w:r w:rsidRPr="00420E12">
              <w:rPr>
                <w:rFonts w:ascii="Arial" w:hAnsi="Arial"/>
                <w:b/>
                <w:bCs/>
                <w:sz w:val="26"/>
                <w:szCs w:val="26"/>
                <w:rtl/>
              </w:rPr>
              <w:t>ה</w:t>
            </w:r>
            <w:sdt>
              <w:sdtPr>
                <w:rPr>
                  <w:sz w:val="26"/>
                  <w:szCs w:val="26"/>
                  <w:rtl/>
                </w:rPr>
                <w:alias w:val="1574"/>
                <w:tag w:val="1574"/>
                <w:id w:val="1264808568"/>
                <w:text w:multiLine="1"/>
              </w:sdtPr>
              <w:sdtEndPr/>
              <w:sdtContent>
                <w:r>
                  <w:rPr>
                    <w:rFonts w:ascii="Arial" w:hAnsi="Arial"/>
                    <w:b/>
                    <w:bCs/>
                    <w:sz w:val="26"/>
                    <w:szCs w:val="26"/>
                    <w:rtl/>
                  </w:rPr>
                  <w:t>שופטת</w:t>
                </w:r>
              </w:sdtContent>
            </w:sdt>
            <w:r w:rsidRPr="00420E12">
              <w:rPr>
                <w:rFonts w:ascii="Arial" w:hAnsi="Arial"/>
                <w:b/>
                <w:bCs/>
                <w:sz w:val="26"/>
                <w:szCs w:val="26"/>
                <w:rtl/>
              </w:rPr>
              <w:t xml:space="preserve">  </w:t>
            </w:r>
            <w:sdt>
              <w:sdtPr>
                <w:rPr>
                  <w:sz w:val="26"/>
                  <w:szCs w:val="26"/>
                  <w:rtl/>
                </w:rPr>
                <w:alias w:val="1573"/>
                <w:tag w:val="1573"/>
                <w:id w:val="-1044745739"/>
                <w:text w:multiLine="1"/>
              </w:sdtPr>
              <w:sdtEndPr/>
              <w:sdtContent>
                <w:r>
                  <w:rPr>
                    <w:rFonts w:ascii="Arial" w:hAnsi="Arial"/>
                    <w:b/>
                    <w:bCs/>
                    <w:sz w:val="26"/>
                    <w:szCs w:val="26"/>
                    <w:rtl/>
                  </w:rPr>
                  <w:t>ירדנה סרוסי</w:t>
                </w:r>
              </w:sdtContent>
            </w:sdt>
          </w:p>
          <w:p w:rsidR="008F3A58" w:rsidRPr="00420E12" w:rsidRDefault="008F3A58" w:rsidP="008F3A58">
            <w:pPr>
              <w:rPr>
                <w:rFonts w:ascii="Arial" w:hAnsi="Arial" w:cs="FrankRuehl"/>
                <w:sz w:val="26"/>
                <w:szCs w:val="26"/>
                <w:highlight w:val="yellow"/>
              </w:rPr>
            </w:pPr>
          </w:p>
        </w:tc>
      </w:tr>
      <w:tr w:rsidR="008F3A58" w:rsidRPr="00420E12" w:rsidTr="008F3A58">
        <w:tc>
          <w:tcPr>
            <w:tcW w:w="3281" w:type="dxa"/>
            <w:gridSpan w:val="2"/>
          </w:tcPr>
          <w:sdt>
            <w:sdtPr>
              <w:rPr>
                <w:sz w:val="26"/>
                <w:szCs w:val="26"/>
                <w:rtl/>
              </w:rPr>
              <w:alias w:val="1180"/>
              <w:tag w:val="1180"/>
              <w:id w:val="1169446867"/>
              <w:text w:multiLine="1"/>
            </w:sdtPr>
            <w:sdtEndPr/>
            <w:sdtContent>
              <w:p w:rsidR="006124F1" w:rsidRDefault="00047407">
                <w:pPr>
                  <w:rPr>
                    <w:rFonts w:ascii="Arial" w:hAnsi="Arial"/>
                    <w:b/>
                    <w:bCs/>
                    <w:sz w:val="26"/>
                    <w:szCs w:val="26"/>
                  </w:rPr>
                </w:pPr>
                <w:r>
                  <w:rPr>
                    <w:rFonts w:ascii="Arial" w:hAnsi="Arial"/>
                    <w:b/>
                    <w:bCs/>
                    <w:sz w:val="26"/>
                    <w:szCs w:val="26"/>
                    <w:rtl/>
                  </w:rPr>
                  <w:t>מערערים</w:t>
                </w:r>
              </w:p>
            </w:sdtContent>
          </w:sdt>
        </w:tc>
        <w:tc>
          <w:tcPr>
            <w:tcW w:w="5539" w:type="dxa"/>
            <w:gridSpan w:val="2"/>
          </w:tcPr>
          <w:p w:rsidR="008F3A58" w:rsidRPr="00420E12" w:rsidRDefault="008F3A58" w:rsidP="008F3A58">
            <w:pPr>
              <w:rPr>
                <w:rFonts w:ascii="Arial" w:hAnsi="Arial"/>
                <w:b/>
                <w:bCs/>
                <w:sz w:val="26"/>
                <w:szCs w:val="26"/>
                <w:rtl/>
              </w:rPr>
            </w:pPr>
          </w:p>
          <w:p w:rsidR="008F3A58" w:rsidRPr="00DF61C4" w:rsidRDefault="006C1DFF" w:rsidP="008F3A58">
            <w:pPr>
              <w:rPr>
                <w:rFonts w:ascii="Arial" w:hAnsi="Arial"/>
                <w:b/>
                <w:bCs/>
                <w:sz w:val="26"/>
                <w:szCs w:val="26"/>
                <w:rtl/>
              </w:rPr>
            </w:pPr>
            <w:sdt>
              <w:sdtPr>
                <w:rPr>
                  <w:sz w:val="26"/>
                  <w:szCs w:val="26"/>
                  <w:rtl/>
                </w:rPr>
                <w:alias w:val="1462"/>
                <w:tag w:val="1462"/>
                <w:id w:val="-2113119621"/>
                <w:text w:multiLine="1"/>
              </w:sdtPr>
              <w:sdtEndPr/>
              <w:sdtContent>
                <w:r w:rsidR="00E67EFF">
                  <w:rPr>
                    <w:rFonts w:ascii="Arial" w:hAnsi="Arial"/>
                    <w:b/>
                    <w:bCs/>
                    <w:sz w:val="26"/>
                    <w:szCs w:val="26"/>
                    <w:rtl/>
                  </w:rPr>
                  <w:t>1</w:t>
                </w:r>
              </w:sdtContent>
            </w:sdt>
            <w:r w:rsidR="008F3A58" w:rsidRPr="00420E12">
              <w:rPr>
                <w:rFonts w:ascii="Arial" w:hAnsi="Arial" w:hint="cs"/>
                <w:b/>
                <w:bCs/>
                <w:sz w:val="26"/>
                <w:szCs w:val="26"/>
                <w:rtl/>
              </w:rPr>
              <w:t>.</w:t>
            </w:r>
            <w:r w:rsidR="008F3A58" w:rsidRPr="00420E12">
              <w:rPr>
                <w:b/>
                <w:bCs/>
                <w:sz w:val="26"/>
                <w:szCs w:val="26"/>
                <w:rtl/>
              </w:rPr>
              <w:t xml:space="preserve"> </w:t>
            </w:r>
            <w:sdt>
              <w:sdtPr>
                <w:rPr>
                  <w:b/>
                  <w:bCs/>
                  <w:sz w:val="26"/>
                  <w:szCs w:val="26"/>
                  <w:rtl/>
                </w:rPr>
                <w:alias w:val="1478"/>
                <w:tag w:val="1478"/>
                <w:id w:val="2124652378"/>
                <w:text w:multiLine="1"/>
              </w:sdtPr>
              <w:sdtEndPr/>
              <w:sdtContent>
                <w:r w:rsidR="00E67EFF" w:rsidRPr="00DF61C4">
                  <w:rPr>
                    <w:b/>
                    <w:bCs/>
                    <w:sz w:val="26"/>
                    <w:szCs w:val="26"/>
                    <w:rtl/>
                  </w:rPr>
                  <w:t>כנפי עטלף שירותי אבטחה בע"מ</w:t>
                </w:r>
              </w:sdtContent>
            </w:sdt>
            <w:r w:rsidR="008F3A58" w:rsidRPr="00DF61C4">
              <w:rPr>
                <w:rFonts w:ascii="Arial" w:hAnsi="Arial"/>
                <w:b/>
                <w:bCs/>
                <w:sz w:val="26"/>
                <w:szCs w:val="26"/>
                <w:rtl/>
              </w:rPr>
              <w:t xml:space="preserve">    </w:t>
            </w:r>
          </w:p>
          <w:p w:rsidR="00DF61C4" w:rsidRDefault="006C1DFF" w:rsidP="008F3A58">
            <w:pPr>
              <w:rPr>
                <w:rFonts w:ascii="Arial" w:hAnsi="Arial"/>
                <w:b/>
                <w:bCs/>
                <w:sz w:val="26"/>
                <w:szCs w:val="26"/>
                <w:rtl/>
              </w:rPr>
            </w:pPr>
            <w:sdt>
              <w:sdtPr>
                <w:rPr>
                  <w:b/>
                  <w:bCs/>
                  <w:sz w:val="26"/>
                  <w:szCs w:val="26"/>
                  <w:rtl/>
                </w:rPr>
                <w:alias w:val="1462"/>
                <w:tag w:val="1462"/>
                <w:id w:val="-760986196"/>
                <w:text w:multiLine="1"/>
              </w:sdtPr>
              <w:sdtEndPr/>
              <w:sdtContent>
                <w:r w:rsidR="00E67EFF" w:rsidRPr="00DF61C4">
                  <w:rPr>
                    <w:rFonts w:ascii="Arial" w:hAnsi="Arial"/>
                    <w:b/>
                    <w:bCs/>
                    <w:sz w:val="26"/>
                    <w:szCs w:val="26"/>
                    <w:rtl/>
                  </w:rPr>
                  <w:t>2</w:t>
                </w:r>
              </w:sdtContent>
            </w:sdt>
            <w:r w:rsidR="008F3A58" w:rsidRPr="00DF61C4">
              <w:rPr>
                <w:rFonts w:ascii="Arial" w:hAnsi="Arial" w:hint="cs"/>
                <w:b/>
                <w:bCs/>
                <w:sz w:val="26"/>
                <w:szCs w:val="26"/>
                <w:rtl/>
              </w:rPr>
              <w:t>.</w:t>
            </w:r>
            <w:r w:rsidR="008F3A58" w:rsidRPr="00DF61C4">
              <w:rPr>
                <w:b/>
                <w:bCs/>
                <w:sz w:val="26"/>
                <w:szCs w:val="26"/>
                <w:rtl/>
              </w:rPr>
              <w:t xml:space="preserve"> </w:t>
            </w:r>
            <w:sdt>
              <w:sdtPr>
                <w:rPr>
                  <w:b/>
                  <w:bCs/>
                  <w:sz w:val="26"/>
                  <w:szCs w:val="26"/>
                  <w:rtl/>
                </w:rPr>
                <w:alias w:val="1478"/>
                <w:tag w:val="1478"/>
                <w:id w:val="897089992"/>
                <w:text w:multiLine="1"/>
              </w:sdtPr>
              <w:sdtEndPr/>
              <w:sdtContent>
                <w:r w:rsidR="00E67EFF" w:rsidRPr="00DF61C4">
                  <w:rPr>
                    <w:b/>
                    <w:bCs/>
                    <w:sz w:val="26"/>
                    <w:szCs w:val="26"/>
                    <w:rtl/>
                  </w:rPr>
                  <w:t>גאנם פלאח</w:t>
                </w:r>
              </w:sdtContent>
            </w:sdt>
            <w:r w:rsidR="008F3A58" w:rsidRPr="00DF61C4">
              <w:rPr>
                <w:rFonts w:ascii="Arial" w:hAnsi="Arial"/>
                <w:b/>
                <w:bCs/>
                <w:sz w:val="26"/>
                <w:szCs w:val="26"/>
                <w:rtl/>
              </w:rPr>
              <w:t xml:space="preserve">   </w:t>
            </w:r>
          </w:p>
          <w:p w:rsidR="008F3A58" w:rsidRPr="00DF61C4" w:rsidRDefault="00DF61C4" w:rsidP="008F3A58">
            <w:pPr>
              <w:rPr>
                <w:rFonts w:ascii="Arial" w:hAnsi="Arial"/>
                <w:b/>
                <w:bCs/>
                <w:sz w:val="26"/>
                <w:szCs w:val="26"/>
                <w:rtl/>
              </w:rPr>
            </w:pPr>
            <w:r w:rsidRPr="00DF61C4">
              <w:rPr>
                <w:rFonts w:ascii="Arial" w:hAnsi="Arial" w:hint="cs"/>
                <w:b/>
                <w:bCs/>
                <w:sz w:val="26"/>
                <w:szCs w:val="26"/>
                <w:rtl/>
              </w:rPr>
              <w:t>ע"י ב"כ עו"ד אייל אסעד</w:t>
            </w:r>
            <w:r w:rsidR="008F3A58" w:rsidRPr="00DF61C4">
              <w:rPr>
                <w:rFonts w:ascii="Arial" w:hAnsi="Arial"/>
                <w:b/>
                <w:bCs/>
                <w:sz w:val="26"/>
                <w:szCs w:val="26"/>
                <w:rtl/>
              </w:rPr>
              <w:t xml:space="preserve"> </w:t>
            </w:r>
          </w:p>
          <w:p w:rsidR="008F3A58" w:rsidRPr="00420E12" w:rsidRDefault="008F3A58" w:rsidP="008F3A58">
            <w:pPr>
              <w:rPr>
                <w:rFonts w:ascii="Arial" w:hAnsi="Arial"/>
                <w:b/>
                <w:bCs/>
                <w:sz w:val="26"/>
                <w:szCs w:val="26"/>
              </w:rPr>
            </w:pPr>
          </w:p>
        </w:tc>
      </w:tr>
      <w:tr w:rsidR="008F3A58" w:rsidRPr="00420E12" w:rsidTr="008F3A58">
        <w:tc>
          <w:tcPr>
            <w:tcW w:w="8820" w:type="dxa"/>
            <w:gridSpan w:val="4"/>
          </w:tcPr>
          <w:p w:rsidR="008F3A58" w:rsidRPr="00420E12" w:rsidRDefault="008F3A58" w:rsidP="008F3A58">
            <w:pPr>
              <w:rPr>
                <w:rFonts w:ascii="Arial" w:hAnsi="Arial"/>
                <w:b/>
                <w:bCs/>
                <w:sz w:val="26"/>
                <w:szCs w:val="26"/>
                <w:rtl/>
              </w:rPr>
            </w:pPr>
          </w:p>
          <w:p w:rsidR="008F3A58" w:rsidRPr="00420E12" w:rsidRDefault="008F3A58" w:rsidP="008F3A58">
            <w:pPr>
              <w:jc w:val="center"/>
              <w:rPr>
                <w:rFonts w:ascii="Arial" w:hAnsi="Arial"/>
                <w:b/>
                <w:bCs/>
                <w:sz w:val="26"/>
                <w:szCs w:val="26"/>
                <w:rtl/>
              </w:rPr>
            </w:pPr>
            <w:r w:rsidRPr="00420E12">
              <w:rPr>
                <w:rFonts w:ascii="Arial" w:hAnsi="Arial"/>
                <w:b/>
                <w:bCs/>
                <w:sz w:val="26"/>
                <w:szCs w:val="26"/>
                <w:rtl/>
              </w:rPr>
              <w:t>נגד</w:t>
            </w:r>
          </w:p>
          <w:p w:rsidR="008F3A58" w:rsidRPr="00420E12" w:rsidRDefault="008F3A58" w:rsidP="008F3A58">
            <w:pPr>
              <w:rPr>
                <w:rFonts w:ascii="Arial" w:hAnsi="Arial"/>
                <w:b/>
                <w:bCs/>
                <w:sz w:val="26"/>
                <w:szCs w:val="26"/>
              </w:rPr>
            </w:pPr>
          </w:p>
        </w:tc>
      </w:tr>
      <w:tr w:rsidR="008F3A58" w:rsidRPr="00420E12" w:rsidTr="008F3A58">
        <w:sdt>
          <w:sdtPr>
            <w:rPr>
              <w:b/>
              <w:bCs/>
              <w:sz w:val="26"/>
              <w:szCs w:val="26"/>
              <w:rtl/>
            </w:rPr>
            <w:alias w:val="1184"/>
            <w:tag w:val="1184"/>
            <w:id w:val="469171988"/>
            <w:text/>
          </w:sdtPr>
          <w:sdtEndPr/>
          <w:sdtContent>
            <w:tc>
              <w:tcPr>
                <w:tcW w:w="3281" w:type="dxa"/>
                <w:gridSpan w:val="2"/>
              </w:tcPr>
              <w:p w:rsidR="008F3A58" w:rsidRPr="00420E12" w:rsidRDefault="008F3A58" w:rsidP="00DF61C4">
                <w:pPr>
                  <w:rPr>
                    <w:rFonts w:ascii="Arial" w:hAnsi="Arial"/>
                    <w:b/>
                    <w:bCs/>
                    <w:sz w:val="26"/>
                    <w:szCs w:val="26"/>
                  </w:rPr>
                </w:pPr>
                <w:r w:rsidRPr="00DF61C4">
                  <w:rPr>
                    <w:rFonts w:ascii="Arial" w:hAnsi="Arial"/>
                    <w:b/>
                    <w:bCs/>
                    <w:sz w:val="26"/>
                    <w:szCs w:val="26"/>
                    <w:rtl/>
                  </w:rPr>
                  <w:t>משיב</w:t>
                </w:r>
              </w:p>
            </w:tc>
          </w:sdtContent>
        </w:sdt>
        <w:tc>
          <w:tcPr>
            <w:tcW w:w="5539" w:type="dxa"/>
            <w:gridSpan w:val="2"/>
          </w:tcPr>
          <w:p w:rsidR="008F3A58" w:rsidRPr="00DF61C4" w:rsidRDefault="008F3A58" w:rsidP="008F3A58">
            <w:pPr>
              <w:rPr>
                <w:rFonts w:ascii="Arial" w:hAnsi="Arial"/>
                <w:b/>
                <w:bCs/>
                <w:sz w:val="26"/>
                <w:szCs w:val="26"/>
                <w:rtl/>
              </w:rPr>
            </w:pPr>
          </w:p>
          <w:p w:rsidR="008F3A58" w:rsidRPr="00DF61C4" w:rsidRDefault="006C1DFF" w:rsidP="00DF61C4">
            <w:pPr>
              <w:rPr>
                <w:rFonts w:ascii="Arial" w:hAnsi="Arial"/>
                <w:b/>
                <w:bCs/>
                <w:sz w:val="26"/>
                <w:szCs w:val="26"/>
                <w:rtl/>
              </w:rPr>
            </w:pPr>
            <w:sdt>
              <w:sdtPr>
                <w:rPr>
                  <w:b/>
                  <w:bCs/>
                  <w:sz w:val="26"/>
                  <w:szCs w:val="26"/>
                  <w:rtl/>
                </w:rPr>
                <w:alias w:val="1486"/>
                <w:tag w:val="1486"/>
                <w:id w:val="-1044989751"/>
                <w:text w:multiLine="1"/>
              </w:sdtPr>
              <w:sdtEndPr/>
              <w:sdtContent>
                <w:r w:rsidR="00E67EFF" w:rsidRPr="00DF61C4">
                  <w:rPr>
                    <w:b/>
                    <w:bCs/>
                    <w:sz w:val="26"/>
                    <w:szCs w:val="26"/>
                    <w:rtl/>
                  </w:rPr>
                  <w:t xml:space="preserve">פקיד שומה </w:t>
                </w:r>
                <w:r w:rsidR="00DF61C4" w:rsidRPr="00DF61C4">
                  <w:rPr>
                    <w:rFonts w:hint="cs"/>
                    <w:b/>
                    <w:bCs/>
                    <w:sz w:val="26"/>
                    <w:szCs w:val="26"/>
                    <w:rtl/>
                  </w:rPr>
                  <w:t>יחידה ארצית לשומה</w:t>
                </w:r>
                <w:r w:rsidR="00DF61C4" w:rsidRPr="00DF61C4">
                  <w:rPr>
                    <w:b/>
                    <w:bCs/>
                    <w:sz w:val="26"/>
                    <w:szCs w:val="26"/>
                    <w:rtl/>
                  </w:rPr>
                  <w:br/>
                </w:r>
                <w:r w:rsidR="00DF61C4" w:rsidRPr="00DF61C4">
                  <w:rPr>
                    <w:rFonts w:hint="cs"/>
                    <w:b/>
                    <w:bCs/>
                    <w:sz w:val="26"/>
                    <w:szCs w:val="26"/>
                    <w:rtl/>
                  </w:rPr>
                  <w:t>ע"י ב"כ עו"ד ערן פיירשטיין</w:t>
                </w:r>
                <w:r w:rsidR="00DF61C4" w:rsidRPr="00DF61C4">
                  <w:rPr>
                    <w:b/>
                    <w:bCs/>
                    <w:sz w:val="26"/>
                    <w:szCs w:val="26"/>
                    <w:rtl/>
                  </w:rPr>
                  <w:br/>
                </w:r>
                <w:r w:rsidR="00DF61C4" w:rsidRPr="00DF61C4">
                  <w:rPr>
                    <w:rFonts w:hint="cs"/>
                    <w:b/>
                    <w:bCs/>
                    <w:sz w:val="26"/>
                    <w:szCs w:val="26"/>
                    <w:rtl/>
                  </w:rPr>
                  <w:t>פמת"א (אזרחי)</w:t>
                </w:r>
              </w:sdtContent>
            </w:sdt>
          </w:p>
          <w:p w:rsidR="008F3A58" w:rsidRPr="00420E12" w:rsidRDefault="008F3A58" w:rsidP="008F3A58">
            <w:pPr>
              <w:rPr>
                <w:rFonts w:ascii="Arial" w:hAnsi="Arial"/>
                <w:b/>
                <w:bCs/>
                <w:sz w:val="26"/>
                <w:szCs w:val="26"/>
                <w:rtl/>
              </w:rPr>
            </w:pPr>
          </w:p>
          <w:p w:rsidR="008F3A58" w:rsidRPr="00420E12" w:rsidRDefault="008F3A58" w:rsidP="008F3A58">
            <w:pPr>
              <w:bidi w:val="0"/>
              <w:jc w:val="right"/>
              <w:rPr>
                <w:rFonts w:ascii="Arial" w:hAnsi="Arial"/>
                <w:b/>
                <w:bCs/>
                <w:sz w:val="26"/>
                <w:szCs w:val="26"/>
                <w:rtl/>
              </w:rPr>
            </w:pPr>
          </w:p>
        </w:tc>
      </w:tr>
    </w:tbl>
    <w:p w:rsidR="0002177A" w:rsidRDefault="0002177A">
      <w:pPr>
        <w:rPr>
          <w:rtl/>
        </w:rPr>
      </w:pPr>
    </w:p>
    <w:p w:rsidR="0002177A" w:rsidRDefault="0002177A">
      <w:pPr>
        <w:rPr>
          <w:rtl/>
        </w:rPr>
      </w:pPr>
    </w:p>
    <w:p w:rsidR="0002177A" w:rsidRDefault="0002177A"/>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Pr="00DF61C4" w:rsidRDefault="00375F47">
            <w:pPr>
              <w:jc w:val="center"/>
              <w:rPr>
                <w:rFonts w:ascii="Arial" w:hAnsi="Arial"/>
                <w:b/>
                <w:bCs/>
                <w:sz w:val="32"/>
                <w:szCs w:val="32"/>
                <w:u w:val="single"/>
              </w:rPr>
            </w:pPr>
            <w:r w:rsidRPr="00DF61C4">
              <w:rPr>
                <w:rFonts w:ascii="Arial" w:hAnsi="Arial"/>
                <w:b/>
                <w:bCs/>
                <w:sz w:val="32"/>
                <w:szCs w:val="32"/>
                <w:u w:val="single"/>
                <w:rtl/>
              </w:rPr>
              <w:t>החלטה</w:t>
            </w:r>
          </w:p>
        </w:tc>
      </w:tr>
    </w:tbl>
    <w:p w:rsidR="0002177A" w:rsidRDefault="0002177A" w:rsidP="00420E12">
      <w:pPr>
        <w:spacing w:line="360" w:lineRule="auto"/>
        <w:rPr>
          <w:rFonts w:ascii="Arial" w:hAnsi="Arial"/>
          <w:rtl/>
        </w:rPr>
      </w:pPr>
    </w:p>
    <w:p w:rsidR="00DF61C4" w:rsidRDefault="00DF61C4" w:rsidP="00DF61C4">
      <w:pPr>
        <w:spacing w:after="240" w:line="360" w:lineRule="auto"/>
        <w:jc w:val="both"/>
        <w:rPr>
          <w:rFonts w:ascii="David" w:hAnsi="David"/>
          <w:sz w:val="26"/>
          <w:szCs w:val="26"/>
        </w:rPr>
      </w:pPr>
      <w:r>
        <w:rPr>
          <w:rFonts w:ascii="David" w:hAnsi="David"/>
          <w:sz w:val="26"/>
          <w:szCs w:val="26"/>
          <w:rtl/>
        </w:rPr>
        <w:t>לפניי בקשה לביטול פסק דין שהורה על מחיקת הערעור. אקדים ואציין כי אין בידי לקבל את הבקשה</w:t>
      </w:r>
      <w:r w:rsidR="002D1083">
        <w:rPr>
          <w:rFonts w:ascii="David" w:hAnsi="David" w:hint="cs"/>
          <w:sz w:val="26"/>
          <w:szCs w:val="26"/>
          <w:rtl/>
        </w:rPr>
        <w:t>,</w:t>
      </w:r>
      <w:r>
        <w:rPr>
          <w:rFonts w:ascii="David" w:hAnsi="David"/>
          <w:sz w:val="26"/>
          <w:szCs w:val="26"/>
          <w:rtl/>
        </w:rPr>
        <w:t xml:space="preserve"> אף ללא צורך בתשובה.</w:t>
      </w:r>
    </w:p>
    <w:p w:rsidR="00DF61C4" w:rsidRDefault="00DF61C4" w:rsidP="00DF61C4">
      <w:pPr>
        <w:numPr>
          <w:ilvl w:val="0"/>
          <w:numId w:val="4"/>
        </w:numPr>
        <w:spacing w:after="240" w:line="360" w:lineRule="auto"/>
        <w:jc w:val="both"/>
        <w:rPr>
          <w:rFonts w:ascii="David" w:hAnsi="David"/>
          <w:sz w:val="26"/>
          <w:szCs w:val="26"/>
          <w:rtl/>
        </w:rPr>
      </w:pPr>
      <w:r>
        <w:rPr>
          <w:rFonts w:ascii="David" w:hAnsi="David"/>
          <w:sz w:val="26"/>
          <w:szCs w:val="26"/>
          <w:rtl/>
        </w:rPr>
        <w:t>עניינו של ההליך בערעור על שומת מס הכנסה שיצאה למערערים. בתמצית שבתמצית, בעקבות הליך פלילי שנפתח, בין היתר, כנגד המערערים, המשיב ביטל הוצאות שניכתה המערערת על סמך חשבוניות פיקטיביות כנגד הכנסותיה וכן הוא קבע כי המערער, כבעל השליטה במערערת, משך את הכספים שהתקבלו ביתר.</w:t>
      </w:r>
    </w:p>
    <w:p w:rsidR="00DF61C4" w:rsidRDefault="00DF61C4" w:rsidP="00DF61C4">
      <w:pPr>
        <w:numPr>
          <w:ilvl w:val="0"/>
          <w:numId w:val="4"/>
        </w:numPr>
        <w:spacing w:after="240" w:line="360" w:lineRule="auto"/>
        <w:jc w:val="both"/>
        <w:rPr>
          <w:rFonts w:ascii="David" w:hAnsi="David"/>
          <w:sz w:val="26"/>
          <w:szCs w:val="26"/>
        </w:rPr>
      </w:pPr>
      <w:r>
        <w:rPr>
          <w:rFonts w:ascii="David" w:hAnsi="David"/>
          <w:sz w:val="26"/>
          <w:szCs w:val="26"/>
          <w:rtl/>
        </w:rPr>
        <w:t>לאחר שהצדדים הגישו את כתבי טענותיהם ותוך הגשת ראיות הצדדים, קבעתי ביום 10.1.2023 כי ההוכחות בהליך יישמעו בתאריך 30.4.2023.</w:t>
      </w:r>
    </w:p>
    <w:p w:rsidR="00DF61C4" w:rsidRDefault="00DF61C4" w:rsidP="00DF61C4">
      <w:pPr>
        <w:numPr>
          <w:ilvl w:val="0"/>
          <w:numId w:val="4"/>
        </w:numPr>
        <w:spacing w:after="240" w:line="360" w:lineRule="auto"/>
        <w:jc w:val="both"/>
        <w:rPr>
          <w:rFonts w:ascii="David" w:hAnsi="David"/>
          <w:sz w:val="26"/>
          <w:szCs w:val="26"/>
          <w:rtl/>
        </w:rPr>
      </w:pPr>
      <w:r>
        <w:rPr>
          <w:rFonts w:ascii="David" w:hAnsi="David"/>
          <w:sz w:val="26"/>
          <w:szCs w:val="26"/>
          <w:rtl/>
        </w:rPr>
        <w:t>ביום 23.3.2023 המערערים הודיעו על החלפת ייצוג בהליך.</w:t>
      </w:r>
    </w:p>
    <w:p w:rsidR="00DF61C4" w:rsidRDefault="00DF61C4" w:rsidP="00DF61C4">
      <w:pPr>
        <w:numPr>
          <w:ilvl w:val="0"/>
          <w:numId w:val="4"/>
        </w:numPr>
        <w:spacing w:after="240" w:line="360" w:lineRule="auto"/>
        <w:jc w:val="both"/>
        <w:rPr>
          <w:rFonts w:ascii="David" w:hAnsi="David"/>
          <w:sz w:val="26"/>
          <w:szCs w:val="26"/>
          <w:rtl/>
        </w:rPr>
      </w:pPr>
      <w:r>
        <w:rPr>
          <w:rFonts w:ascii="David" w:hAnsi="David"/>
          <w:sz w:val="26"/>
          <w:szCs w:val="26"/>
          <w:rtl/>
        </w:rPr>
        <w:t>ביום 20.4.2023, 10 ימים בלבד טרם מועד ההוכחות וכחודש לאחר ההודעה על החלפת הייצוג, ביקשו המערערים לדחות את מועד דיון ההוכחות לחודש יוני 2023. על אף הבקשה המאוחרת, עוד באותו היום נעתרתי לבקשה וקבעתי כי הדיון יידחה לתאריך 11.6.2023. כן קבעתי באותה החלטה כי "</w:t>
      </w:r>
      <w:r>
        <w:rPr>
          <w:rFonts w:ascii="David" w:hAnsi="David"/>
          <w:b/>
          <w:bCs/>
          <w:sz w:val="26"/>
          <w:szCs w:val="26"/>
          <w:rtl/>
        </w:rPr>
        <w:t>הצדדים יודיעו לא יאוחר מתאריך 24.5.2023 אם המועד הנדחה אינו תואם את יומנם</w:t>
      </w:r>
      <w:r>
        <w:rPr>
          <w:rFonts w:ascii="David" w:hAnsi="David"/>
          <w:sz w:val="26"/>
          <w:szCs w:val="26"/>
          <w:rtl/>
        </w:rPr>
        <w:t>".</w:t>
      </w:r>
    </w:p>
    <w:p w:rsidR="00DF61C4" w:rsidRDefault="00DF61C4" w:rsidP="00DF61C4">
      <w:pPr>
        <w:numPr>
          <w:ilvl w:val="0"/>
          <w:numId w:val="4"/>
        </w:numPr>
        <w:spacing w:after="240" w:line="360" w:lineRule="auto"/>
        <w:jc w:val="both"/>
        <w:rPr>
          <w:rFonts w:ascii="David" w:hAnsi="David"/>
          <w:sz w:val="26"/>
          <w:szCs w:val="26"/>
          <w:rtl/>
        </w:rPr>
      </w:pPr>
      <w:r>
        <w:rPr>
          <w:rFonts w:ascii="David" w:hAnsi="David"/>
          <w:sz w:val="26"/>
          <w:szCs w:val="26"/>
          <w:rtl/>
        </w:rPr>
        <w:lastRenderedPageBreak/>
        <w:t>עם זאת, רק ביום 4.6.2023, כשבוע בלבד טרם מועד ההוכחות הנדחה ולאחר המועד שנקבע בהחלטתי, ביקשו המערערים לדחות את מועד הדיון משום שב"כ המערערים "</w:t>
      </w:r>
      <w:r>
        <w:rPr>
          <w:rFonts w:ascii="David" w:hAnsi="David"/>
          <w:b/>
          <w:bCs/>
          <w:sz w:val="26"/>
          <w:szCs w:val="26"/>
          <w:rtl/>
        </w:rPr>
        <w:t>שכח לתעד ביומנו את המועד החדש. ורק לאחר שהח"מ</w:t>
      </w:r>
      <w:r>
        <w:rPr>
          <w:rFonts w:ascii="David" w:hAnsi="David"/>
          <w:sz w:val="26"/>
          <w:szCs w:val="26"/>
          <w:rtl/>
        </w:rPr>
        <w:t xml:space="preserve"> [ב"כ המערערים – י"ס] </w:t>
      </w:r>
      <w:r>
        <w:rPr>
          <w:rFonts w:ascii="David" w:hAnsi="David"/>
          <w:b/>
          <w:bCs/>
          <w:sz w:val="26"/>
          <w:szCs w:val="26"/>
          <w:rtl/>
        </w:rPr>
        <w:t>הכין רשימת עבודה לימים הקרובים נדהם לגלות כי ישיבת ההוכחות בתיק שבכותרת נקבעה למועד שבו מתקיים דיון מקדים ישיבת ההוכחות בע"מ ... שמתנהל בפני בית המשפט מחוזי בנצרת</w:t>
      </w:r>
      <w:r>
        <w:rPr>
          <w:rFonts w:ascii="David" w:hAnsi="David"/>
          <w:sz w:val="26"/>
          <w:szCs w:val="26"/>
          <w:rtl/>
        </w:rPr>
        <w:t xml:space="preserve">" (הטעות במקור). </w:t>
      </w:r>
    </w:p>
    <w:p w:rsidR="00DF61C4" w:rsidRDefault="00DF61C4" w:rsidP="00DF61C4">
      <w:pPr>
        <w:spacing w:after="240" w:line="360" w:lineRule="auto"/>
        <w:ind w:left="360"/>
        <w:jc w:val="both"/>
        <w:rPr>
          <w:rFonts w:ascii="David" w:hAnsi="David"/>
          <w:sz w:val="26"/>
          <w:szCs w:val="26"/>
        </w:rPr>
      </w:pPr>
      <w:r>
        <w:rPr>
          <w:rFonts w:ascii="David" w:hAnsi="David"/>
          <w:sz w:val="26"/>
          <w:szCs w:val="26"/>
          <w:rtl/>
        </w:rPr>
        <w:t xml:space="preserve">המשיב לא הסכים לבקשת הדחייה. </w:t>
      </w:r>
    </w:p>
    <w:p w:rsidR="00DF61C4" w:rsidRDefault="00DF61C4" w:rsidP="00DF61C4">
      <w:pPr>
        <w:numPr>
          <w:ilvl w:val="0"/>
          <w:numId w:val="4"/>
        </w:numPr>
        <w:spacing w:after="240" w:line="360" w:lineRule="auto"/>
        <w:jc w:val="both"/>
        <w:rPr>
          <w:rFonts w:ascii="David" w:hAnsi="David"/>
          <w:sz w:val="26"/>
          <w:szCs w:val="26"/>
        </w:rPr>
      </w:pPr>
      <w:r>
        <w:rPr>
          <w:rFonts w:ascii="David" w:hAnsi="David"/>
          <w:sz w:val="26"/>
          <w:szCs w:val="26"/>
          <w:rtl/>
        </w:rPr>
        <w:t xml:space="preserve">יצוין, כי לבקשת הדחייה לא צורף טופס דחייה ייעודי כנדרש, לא הוסבר מתי אותו דיון מקביל נקבע, לא הוסבר מדוע לא התבקשה דחייה בדיון המקביל, שלכאורה הוא "דיון מקדים" (טיבו המדויק של הדיון המקביל אינו ברור מהבקשה), וכותרת הבקשה הייתה "בקשה מוסכמת" על אף שבגוף הבקשה צוין כי המשיב מתנגד לבקשה. </w:t>
      </w:r>
    </w:p>
    <w:p w:rsidR="00DF61C4" w:rsidRDefault="00DF61C4" w:rsidP="00DF61C4">
      <w:pPr>
        <w:numPr>
          <w:ilvl w:val="0"/>
          <w:numId w:val="4"/>
        </w:numPr>
        <w:spacing w:after="240" w:line="360" w:lineRule="auto"/>
        <w:jc w:val="both"/>
        <w:rPr>
          <w:rFonts w:ascii="David" w:hAnsi="David"/>
          <w:sz w:val="26"/>
          <w:szCs w:val="26"/>
          <w:rtl/>
        </w:rPr>
      </w:pPr>
      <w:r>
        <w:rPr>
          <w:rFonts w:ascii="David" w:hAnsi="David"/>
          <w:sz w:val="26"/>
          <w:szCs w:val="26"/>
          <w:rtl/>
        </w:rPr>
        <w:t>בנסיבות אלו, לא מצאתי להיעתר לבקשה ובהחלטה מיום 5.6.2023 דחיתי את הבקשה, כדלהלן: "</w:t>
      </w:r>
      <w:r>
        <w:rPr>
          <w:rFonts w:ascii="David" w:hAnsi="David"/>
          <w:b/>
          <w:bCs/>
          <w:sz w:val="26"/>
          <w:szCs w:val="26"/>
          <w:rtl/>
        </w:rPr>
        <w:t>שעה שמועד ההוכחות המקורי נדחה לפי בקשת המערערת (בהסכמת המשיב) ובהינתן התנגדות המשיב לדחייה המבוקשת ומאחר שהמערערת לא הציגה טעם מוצדק לבקשתה (לא הוגש הטופס הייעודי לבקשות מסוג זה וממילא לא הוברר מתי נקבע הדיון המקדים בתיק האחר ובכל מקרה גילו של ההליך שבכותרת וותיק יותר) - לא מצאתי להיעתר לבקשה ומועד ההוכחות יוותר על כנו וכך גם שאר ההנחיות שנקבעו</w:t>
      </w:r>
      <w:r>
        <w:rPr>
          <w:rFonts w:ascii="David" w:hAnsi="David"/>
          <w:sz w:val="26"/>
          <w:szCs w:val="26"/>
          <w:rtl/>
        </w:rPr>
        <w:t>".</w:t>
      </w:r>
    </w:p>
    <w:p w:rsidR="00DF61C4" w:rsidRDefault="00DF61C4" w:rsidP="00DF61C4">
      <w:pPr>
        <w:numPr>
          <w:ilvl w:val="0"/>
          <w:numId w:val="4"/>
        </w:numPr>
        <w:spacing w:after="240" w:line="360" w:lineRule="auto"/>
        <w:jc w:val="both"/>
        <w:rPr>
          <w:rFonts w:ascii="David" w:hAnsi="David"/>
          <w:sz w:val="26"/>
          <w:szCs w:val="26"/>
          <w:rtl/>
        </w:rPr>
      </w:pPr>
      <w:r>
        <w:rPr>
          <w:rFonts w:ascii="David" w:hAnsi="David"/>
          <w:sz w:val="26"/>
          <w:szCs w:val="26"/>
          <w:rtl/>
        </w:rPr>
        <w:t>המערערים לא אמרו נואש והגישו שנית בקשה לדחייה ביום 8.6.2023, כדלהלן: "</w:t>
      </w:r>
      <w:r>
        <w:rPr>
          <w:rFonts w:ascii="David" w:hAnsi="David"/>
          <w:b/>
          <w:bCs/>
          <w:sz w:val="26"/>
          <w:szCs w:val="26"/>
          <w:rtl/>
        </w:rPr>
        <w:t>בית המשפט הנכבד מתבקש בזאת לדחות את מועד הדיון הקבוע בתיק שבכותרת, הכל כמפורט להלן. ואלו נימוקי הבקשה: בימים האחרונים התקיים מו"מ אינטנסיבי בין הצדדים אשר קרובים לסיום התיק בהסדר ובתקווה שלא יהיה עוד צורך בניהול הוכחות. בנוסף לעניין קריטי זה לח"מ קבוע דיון מקביל בבית המחוזי בנצרת באותו המועד הקבוע בתיק שבכותרת. אשר על כן מתבקש בית המשפט הנכבד להורות כמבוקש, ולדחות את המועד הקבוע כעת</w:t>
      </w:r>
      <w:r>
        <w:rPr>
          <w:rFonts w:ascii="David" w:hAnsi="David"/>
          <w:sz w:val="26"/>
          <w:szCs w:val="26"/>
          <w:rtl/>
        </w:rPr>
        <w:t>". הא ותו לא.</w:t>
      </w:r>
    </w:p>
    <w:p w:rsidR="00DF61C4" w:rsidRDefault="00DF61C4" w:rsidP="00DF61C4">
      <w:pPr>
        <w:numPr>
          <w:ilvl w:val="0"/>
          <w:numId w:val="4"/>
        </w:numPr>
        <w:spacing w:after="240" w:line="360" w:lineRule="auto"/>
        <w:jc w:val="both"/>
        <w:rPr>
          <w:rFonts w:ascii="David" w:hAnsi="David"/>
          <w:sz w:val="26"/>
          <w:szCs w:val="26"/>
        </w:rPr>
      </w:pPr>
      <w:r>
        <w:rPr>
          <w:rFonts w:ascii="David" w:hAnsi="David"/>
          <w:sz w:val="26"/>
          <w:szCs w:val="26"/>
          <w:rtl/>
        </w:rPr>
        <w:t>כפי שניתן להיווכח גם הבקשה הנוספת הייתה לקונית, מבלי שצורף לה הטופס הייעודי ומבלי שהיא התייחסה לאמור בהחלטתי מיום 5.6.2023. משכך, עוד באותו היום דחיתי גם את הבקשה הזו תוך הפניה להחלטתי מתאריך 5.6.2023, כדלהלן: "</w:t>
      </w:r>
      <w:r>
        <w:rPr>
          <w:rFonts w:ascii="David" w:hAnsi="David"/>
          <w:b/>
          <w:bCs/>
          <w:sz w:val="26"/>
          <w:szCs w:val="26"/>
          <w:rtl/>
        </w:rPr>
        <w:t xml:space="preserve">הבקשה, שאינה בהסכמה, נדחית ואין לי אלא לחזור ולהפנות לנימוקים שבהחלטתי מתאריך 5.6.2023, שנצפתה על ידי ב"כ המערערת. אזכיר כי לצדדים הועמד סיפק נאות לניהול מו"מ, </w:t>
      </w:r>
      <w:r>
        <w:rPr>
          <w:rFonts w:ascii="David" w:hAnsi="David"/>
          <w:b/>
          <w:bCs/>
          <w:sz w:val="26"/>
          <w:szCs w:val="26"/>
          <w:rtl/>
        </w:rPr>
        <w:lastRenderedPageBreak/>
        <w:t>ומשלא צלח יש לקדם את שמיעת התיק. מועד ההוכחות ושאר ההנחיות יוותרו על כנם</w:t>
      </w:r>
      <w:r>
        <w:rPr>
          <w:rFonts w:ascii="David" w:hAnsi="David"/>
          <w:sz w:val="26"/>
          <w:szCs w:val="26"/>
          <w:rtl/>
        </w:rPr>
        <w:t>".</w:t>
      </w:r>
    </w:p>
    <w:p w:rsidR="00DF61C4" w:rsidRDefault="00DF61C4" w:rsidP="00DF61C4">
      <w:pPr>
        <w:numPr>
          <w:ilvl w:val="0"/>
          <w:numId w:val="4"/>
        </w:numPr>
        <w:spacing w:after="240" w:line="360" w:lineRule="auto"/>
        <w:jc w:val="both"/>
        <w:rPr>
          <w:rFonts w:ascii="David" w:hAnsi="David"/>
          <w:sz w:val="26"/>
          <w:szCs w:val="26"/>
          <w:rtl/>
        </w:rPr>
      </w:pPr>
      <w:r>
        <w:rPr>
          <w:rFonts w:ascii="David" w:hAnsi="David"/>
          <w:sz w:val="26"/>
          <w:szCs w:val="26"/>
          <w:rtl/>
        </w:rPr>
        <w:t>והנה ביום הדיון, המערערים עשו דין לעצמם ולא הגיעו לדיון ההוכחות. ב"כ המשיב ניסה לברר אצל משרד ב"כ המערערים האם המערערים או מי מטעמם מתכוונים להגיע לדיון ובשיחת טלפון נאמר לו שלא יגיע נציג מטעמם לדיון (עמ' 4, ש' 13 לפרוטוקול).</w:t>
      </w:r>
    </w:p>
    <w:p w:rsidR="00DF61C4" w:rsidRDefault="00DF61C4" w:rsidP="00DF61C4">
      <w:pPr>
        <w:numPr>
          <w:ilvl w:val="0"/>
          <w:numId w:val="4"/>
        </w:numPr>
        <w:spacing w:after="240" w:line="360" w:lineRule="auto"/>
        <w:jc w:val="both"/>
        <w:rPr>
          <w:rFonts w:ascii="David" w:hAnsi="David"/>
          <w:sz w:val="26"/>
          <w:szCs w:val="26"/>
          <w:rtl/>
        </w:rPr>
      </w:pPr>
      <w:r>
        <w:rPr>
          <w:rFonts w:ascii="David" w:hAnsi="David"/>
          <w:sz w:val="26"/>
          <w:szCs w:val="26"/>
          <w:rtl/>
        </w:rPr>
        <w:t>משכך, החלטתי למחוק את הערעורים בהתאם לתקנה 75 לתקנות סדר הדין האזרחי, התשע"ט-2018 תוך חיוב המערערים בהוצאות המשיב בסך של 20,000 ש"ח. עוד ציינתי בהחלטתי כי מתצהירי העדות הראשית שהוגשו על ידי המערערים עולה כי סיכויי הערעור אינם מן המשופרים.</w:t>
      </w:r>
    </w:p>
    <w:p w:rsidR="00DF61C4" w:rsidRDefault="00DF61C4" w:rsidP="00DF61C4">
      <w:pPr>
        <w:numPr>
          <w:ilvl w:val="0"/>
          <w:numId w:val="4"/>
        </w:numPr>
        <w:spacing w:after="240" w:line="360" w:lineRule="auto"/>
        <w:jc w:val="both"/>
        <w:rPr>
          <w:rFonts w:ascii="David" w:hAnsi="David"/>
          <w:sz w:val="26"/>
          <w:szCs w:val="26"/>
          <w:rtl/>
        </w:rPr>
      </w:pPr>
      <w:r>
        <w:rPr>
          <w:rFonts w:ascii="David" w:hAnsi="David"/>
          <w:sz w:val="26"/>
          <w:szCs w:val="26"/>
          <w:rtl/>
        </w:rPr>
        <w:t>ביום 14.6.2023 המערערים הגישו בקשה לביטול פסק הדין ולפסילת המותב. הבקשה הייתה לקונית ולא נומקה כנדרש. עוד באותו היום קבעתי, בין היתר, "</w:t>
      </w:r>
      <w:r>
        <w:rPr>
          <w:rFonts w:ascii="David" w:hAnsi="David"/>
          <w:b/>
          <w:bCs/>
          <w:sz w:val="26"/>
          <w:szCs w:val="26"/>
          <w:rtl/>
        </w:rPr>
        <w:t>שהבקשה לביטול פסק הדין (כמו גם בקשת הפסלות) הוגשה ללא נימוקים ענייניים וללא פירוט מינימאלי שיכול לבסס דיון בה. כל שנטען הוא כי המערערים נכחו בדיון מקביל, כי נוהל מו"מ עם המשיב וכי עלתה הצעה להפקדת ערובה (יצוין כי המערערים טענו כי ההצעה עלתה מטעם שני הצדדים, אך בפרוטוקול הדיון אין זכר לכך). המערערים טוענים כי 'אין צורך להרחיב ולו במילה' מעבר לכך, אולם המערערים לא הסבירו מדוע יש בנסיבות אלו הצדקה לביטול פסק הדין. זאת בדומה להתעלמותם מהחלטתי מיום 5.6.2023</w:t>
      </w:r>
      <w:r>
        <w:rPr>
          <w:rFonts w:ascii="David" w:hAnsi="David"/>
          <w:sz w:val="26"/>
          <w:szCs w:val="26"/>
          <w:rtl/>
        </w:rPr>
        <w:t xml:space="preserve">. </w:t>
      </w:r>
      <w:r>
        <w:rPr>
          <w:rFonts w:ascii="David" w:hAnsi="David"/>
          <w:b/>
          <w:bCs/>
          <w:sz w:val="26"/>
          <w:szCs w:val="26"/>
          <w:rtl/>
        </w:rPr>
        <w:t>לפיכך, ועל מנת להעניק למערערים הזדמנות נוספת להשמיע את טענותיהם, המערערים יגישו בתוך 7 ימים בקשה מנומקת לפי הדין והפסיקה לביטול פסק הדין. אם תתקבל אותה בקשה, יהיה מקום לדון בבקשת הפסילה</w:t>
      </w:r>
      <w:r>
        <w:rPr>
          <w:rFonts w:ascii="David" w:hAnsi="David"/>
          <w:sz w:val="26"/>
          <w:szCs w:val="26"/>
          <w:rtl/>
        </w:rPr>
        <w:t>".</w:t>
      </w:r>
    </w:p>
    <w:p w:rsidR="00DF61C4" w:rsidRDefault="00DF61C4" w:rsidP="00DF61C4">
      <w:pPr>
        <w:numPr>
          <w:ilvl w:val="0"/>
          <w:numId w:val="4"/>
        </w:numPr>
        <w:spacing w:after="240" w:line="360" w:lineRule="auto"/>
        <w:jc w:val="both"/>
        <w:rPr>
          <w:rFonts w:ascii="David" w:hAnsi="David"/>
          <w:sz w:val="26"/>
          <w:szCs w:val="26"/>
          <w:rtl/>
        </w:rPr>
      </w:pPr>
      <w:r>
        <w:rPr>
          <w:rFonts w:ascii="David" w:hAnsi="David"/>
          <w:sz w:val="26"/>
          <w:szCs w:val="26"/>
          <w:rtl/>
        </w:rPr>
        <w:t>בהמשך להחלטתי, המערערים הגישו את הבקשה דנן בה נטען כי סוכם עם המשיב שהוא יסכים לדחיית הדיון בכפוף להפקדת ערובה על סך של 100,000 ש"ח ושב"כ המשיב יעלה את האמור במועד הדיון שכן ב"כ המערערים נכח בדיון אחר. לטענת המערערים, ב"כ המשיב שלח מסרון לב"כ המערערים בו ציין כי המתווה שסוכם בין הצדדים יוצג בדיון. לפיכך טוענים המערערים, שדבריו של ב"כ המשיב וסברתו של ב"כ המערערים כי ההסכם בין הצדדים להמשך המו"מ יובא לידיעת בית המשפט, לצד העובדה כי ב"כ המערערים נכח בדיון שהפרקליטות צד לו, מהווים טעם סביר להיעדר ההתייצבות.</w:t>
      </w:r>
    </w:p>
    <w:p w:rsidR="00DF61C4" w:rsidRDefault="00DF61C4" w:rsidP="00DF61C4">
      <w:pPr>
        <w:numPr>
          <w:ilvl w:val="0"/>
          <w:numId w:val="4"/>
        </w:numPr>
        <w:spacing w:after="240" w:line="360" w:lineRule="auto"/>
        <w:jc w:val="both"/>
        <w:rPr>
          <w:rFonts w:ascii="David" w:hAnsi="David"/>
          <w:sz w:val="26"/>
          <w:szCs w:val="26"/>
        </w:rPr>
      </w:pPr>
      <w:r>
        <w:rPr>
          <w:rFonts w:ascii="David" w:hAnsi="David"/>
          <w:sz w:val="26"/>
          <w:szCs w:val="26"/>
          <w:rtl/>
        </w:rPr>
        <w:t>כאמור לעיל, אין בידי לקבל את הבקשה.</w:t>
      </w:r>
    </w:p>
    <w:p w:rsidR="00DF61C4" w:rsidRDefault="00DF61C4" w:rsidP="00DF61C4">
      <w:pPr>
        <w:numPr>
          <w:ilvl w:val="0"/>
          <w:numId w:val="4"/>
        </w:numPr>
        <w:spacing w:after="240" w:line="360" w:lineRule="auto"/>
        <w:jc w:val="both"/>
        <w:rPr>
          <w:rFonts w:ascii="David" w:hAnsi="David"/>
          <w:sz w:val="26"/>
          <w:szCs w:val="26"/>
        </w:rPr>
      </w:pPr>
      <w:r>
        <w:rPr>
          <w:rFonts w:ascii="David" w:hAnsi="David"/>
          <w:sz w:val="26"/>
          <w:szCs w:val="26"/>
          <w:rtl/>
        </w:rPr>
        <w:lastRenderedPageBreak/>
        <w:t>כידוע, בהלכה הפסוקה "</w:t>
      </w:r>
      <w:r>
        <w:rPr>
          <w:rFonts w:ascii="David" w:hAnsi="David"/>
          <w:b/>
          <w:bCs/>
          <w:sz w:val="26"/>
          <w:szCs w:val="26"/>
          <w:rtl/>
        </w:rPr>
        <w:t>נקבעו שתי עילות אשר מאפשרות ביטול של פסק דין שניתן בהיעדר התייצבות: האחת, ביטול מחובת הצדק, אשר תופעל במקרים בהם נפל בפסק הדין פגם היורד לשורש ההליך, ותגרור ביטול ללא קשר לגוף פסק הדין ולהצדקתו; והשנייה, ביטול לפי שיקול דעתו של בית המשפט, אשר אמות המידה להפעלתה נוגעות לסיבה שבגינה ניתן פסק הדין במעמד צד אחד (האם הדבר נבע מזלזול, מרשלנות, מתוך אי הבנה או בתום לב) וכן לסיכויי ההליך שעל הפרק</w:t>
      </w:r>
      <w:r>
        <w:rPr>
          <w:rFonts w:ascii="David" w:hAnsi="David"/>
          <w:sz w:val="26"/>
          <w:szCs w:val="26"/>
          <w:rtl/>
        </w:rPr>
        <w:t xml:space="preserve">" (רע"א 4740/22 </w:t>
      </w:r>
      <w:r>
        <w:rPr>
          <w:rFonts w:ascii="David" w:hAnsi="David"/>
          <w:b/>
          <w:bCs/>
          <w:sz w:val="26"/>
          <w:szCs w:val="26"/>
          <w:rtl/>
        </w:rPr>
        <w:t>איטח נ' פיינרו</w:t>
      </w:r>
      <w:r>
        <w:rPr>
          <w:rFonts w:ascii="David" w:hAnsi="David"/>
          <w:sz w:val="26"/>
          <w:szCs w:val="26"/>
          <w:rtl/>
        </w:rPr>
        <w:t xml:space="preserve">, פס' 7 (18.12.2022) (להלן: "עניין </w:t>
      </w:r>
      <w:r>
        <w:rPr>
          <w:rFonts w:ascii="David" w:hAnsi="David"/>
          <w:b/>
          <w:bCs/>
          <w:sz w:val="26"/>
          <w:szCs w:val="26"/>
          <w:rtl/>
        </w:rPr>
        <w:t>איטח</w:t>
      </w:r>
      <w:r>
        <w:rPr>
          <w:rFonts w:ascii="David" w:hAnsi="David"/>
          <w:sz w:val="26"/>
          <w:szCs w:val="26"/>
          <w:rtl/>
        </w:rPr>
        <w:t xml:space="preserve">")). </w:t>
      </w:r>
    </w:p>
    <w:p w:rsidR="00DF61C4" w:rsidRDefault="00DF61C4" w:rsidP="00DF61C4">
      <w:pPr>
        <w:spacing w:after="240" w:line="360" w:lineRule="auto"/>
        <w:ind w:left="360"/>
        <w:jc w:val="both"/>
        <w:rPr>
          <w:rFonts w:ascii="David" w:hAnsi="David"/>
          <w:sz w:val="26"/>
          <w:szCs w:val="26"/>
        </w:rPr>
      </w:pPr>
      <w:r>
        <w:rPr>
          <w:rFonts w:ascii="David" w:hAnsi="David"/>
          <w:sz w:val="26"/>
          <w:szCs w:val="26"/>
          <w:rtl/>
        </w:rPr>
        <w:t>ענייננו בעילה השנייה – ביטול לפי שיקול דעתו של בית המשפט. על כן אבחן להלן את הסיבה להיעדרות המערערים ואת סיכויי ההליך שעל הפרק.</w:t>
      </w:r>
    </w:p>
    <w:p w:rsidR="00DF61C4" w:rsidRDefault="00DF61C4" w:rsidP="00DF61C4">
      <w:pPr>
        <w:numPr>
          <w:ilvl w:val="0"/>
          <w:numId w:val="4"/>
        </w:numPr>
        <w:spacing w:after="240" w:line="360" w:lineRule="auto"/>
        <w:jc w:val="both"/>
        <w:rPr>
          <w:rFonts w:ascii="David" w:hAnsi="David"/>
          <w:sz w:val="26"/>
          <w:szCs w:val="26"/>
        </w:rPr>
      </w:pPr>
      <w:r>
        <w:rPr>
          <w:rFonts w:ascii="David" w:hAnsi="David"/>
          <w:sz w:val="26"/>
          <w:szCs w:val="26"/>
          <w:rtl/>
        </w:rPr>
        <w:t>לא מצאתי טעם סביר להיעדרות המערערים ואני סבורה שאי-התייצבותם נבע מזלזול גרידא, ולא מתוך רשלנות, אי הבנה או תום לב. לא ייתכן כי המערערים יעשו דין לעצמם ולא יגיעו לדיון ההוכחות על דעתם תוך התעלמות מופגנת מהוראות בית המשפט. זאת בעיקר כאשר הסיבה לבקשת הדחייה הראשונית היא בכך שב"כ המערערים "שכח" לתעד ביומנו את מועד ההוכחות, וזאת לאחר שבית המשפט עמד במפורש בהחלטתו מיום 20.4.2023 כי על הצדדים להודיע אם המועד אינו תואם את יומנם. תקנה 75 הנ"ל מסמיכה את בית המשפט למחוק, ואף לדחות, את הערעור במצב עניינים שכזה, שכן לא מדובר ב"טעם סביר". אף אם ב"כ המערערים בחר להופיע בתיק אחר היה עליו לדאוג כי נציג מטעמו יגיע, ולכל הפחות, על המערערים עצמם היה להגיע לדיון.</w:t>
      </w:r>
    </w:p>
    <w:p w:rsidR="00DF61C4" w:rsidRDefault="00DF61C4" w:rsidP="001E77F3">
      <w:pPr>
        <w:numPr>
          <w:ilvl w:val="0"/>
          <w:numId w:val="4"/>
        </w:numPr>
        <w:spacing w:after="240" w:line="360" w:lineRule="auto"/>
        <w:jc w:val="both"/>
        <w:rPr>
          <w:rFonts w:ascii="David" w:hAnsi="David"/>
          <w:sz w:val="26"/>
          <w:szCs w:val="26"/>
        </w:rPr>
      </w:pPr>
      <w:r>
        <w:rPr>
          <w:rFonts w:ascii="David" w:hAnsi="David"/>
          <w:sz w:val="26"/>
          <w:szCs w:val="26"/>
          <w:rtl/>
        </w:rPr>
        <w:t>כמו כן, הבקשה דנן לא נתמכה בתצהיר ואף לא הוצג המסרון שנטען לב"כ המשיב, וככלל, כל בקשות המערערים, לרבות בקשה זו, חסרות את האסמכתאות הנדרשו</w:t>
      </w:r>
      <w:r w:rsidR="00766065">
        <w:rPr>
          <w:rFonts w:ascii="David" w:hAnsi="David"/>
          <w:sz w:val="26"/>
          <w:szCs w:val="26"/>
          <w:rtl/>
        </w:rPr>
        <w:t>ת להצדקת התנהלותם ולקבלת בקשתם.</w:t>
      </w:r>
      <w:r w:rsidR="00766065">
        <w:rPr>
          <w:rFonts w:ascii="David" w:hAnsi="David" w:hint="cs"/>
          <w:sz w:val="26"/>
          <w:szCs w:val="26"/>
          <w:rtl/>
        </w:rPr>
        <w:t xml:space="preserve"> לעניין זה משמעות </w:t>
      </w:r>
      <w:r w:rsidR="001E77F3">
        <w:rPr>
          <w:rFonts w:ascii="David" w:hAnsi="David" w:hint="cs"/>
          <w:sz w:val="26"/>
          <w:szCs w:val="26"/>
          <w:rtl/>
        </w:rPr>
        <w:t xml:space="preserve">רבה שכן גם לא הוברר טיבו של הדיון המקביל והתחושה היא כי רב הנסתר על הגלוי. מצופה מבעל דין שיבוא בידיים נקיות ויפרוש בפני בית המשפט את כלל העובדות והאסמכתאות הנדרשות לבקשותיו. למרבית הצער, </w:t>
      </w:r>
      <w:r>
        <w:rPr>
          <w:rFonts w:ascii="David" w:hAnsi="David"/>
          <w:sz w:val="26"/>
          <w:szCs w:val="26"/>
          <w:rtl/>
        </w:rPr>
        <w:t xml:space="preserve">המערערים זלזלו פעם אחר פעם בהחלטות בית המשפט ולא פעלו כפי הנדרש, הן בהתעלם מהחלטות בית המשפט והן בהתעלם מהדין וההלכה, לרבות אי-הגשת טפסים ואסמכתאות כנדרש. </w:t>
      </w:r>
    </w:p>
    <w:p w:rsidR="00DF61C4" w:rsidRDefault="00DF61C4" w:rsidP="004F0EEF">
      <w:pPr>
        <w:numPr>
          <w:ilvl w:val="0"/>
          <w:numId w:val="4"/>
        </w:numPr>
        <w:spacing w:after="240" w:line="360" w:lineRule="auto"/>
        <w:jc w:val="both"/>
        <w:rPr>
          <w:rFonts w:ascii="David" w:hAnsi="David"/>
          <w:sz w:val="26"/>
          <w:szCs w:val="26"/>
        </w:rPr>
      </w:pPr>
      <w:r>
        <w:rPr>
          <w:rFonts w:ascii="David" w:hAnsi="David"/>
          <w:sz w:val="26"/>
          <w:szCs w:val="26"/>
          <w:rtl/>
        </w:rPr>
        <w:t xml:space="preserve">יתרה מזו, גרסת ב"כ המערערים אינה תואמת את התרחשות הדברים בדיון עצמו. לא נטען ולו לרגע במהלך הדיון כי הצדדים הגיעו לסיכום על דחיית הדיון בכפוף להפקדת ערובה ואף ב"כ המשיב נדרש לטלפן למשרד ב"כ המערערים על מנת לברר האם בכוונת המערערים להגיע. מכל מקום, אף אם אניח כי התרחשות הדברים הייתה כפי הנטען, </w:t>
      </w:r>
      <w:r>
        <w:rPr>
          <w:rFonts w:ascii="David" w:hAnsi="David"/>
          <w:sz w:val="26"/>
          <w:szCs w:val="26"/>
          <w:rtl/>
        </w:rPr>
        <w:lastRenderedPageBreak/>
        <w:t xml:space="preserve">על ב"כ המערערים היה להגיש בקשה מוסכמת על דחיית מועד הדיון בכפוף להפקדת ערובה. קשה להלום כי </w:t>
      </w:r>
      <w:r w:rsidR="004F0EEF">
        <w:rPr>
          <w:rFonts w:ascii="David" w:hAnsi="David" w:hint="cs"/>
          <w:sz w:val="26"/>
          <w:szCs w:val="26"/>
          <w:rtl/>
        </w:rPr>
        <w:t xml:space="preserve">על </w:t>
      </w:r>
      <w:r>
        <w:rPr>
          <w:rFonts w:ascii="David" w:hAnsi="David"/>
          <w:sz w:val="26"/>
          <w:szCs w:val="26"/>
          <w:rtl/>
        </w:rPr>
        <w:t xml:space="preserve">בית המשפט והמשיב </w:t>
      </w:r>
      <w:r w:rsidR="004F0EEF">
        <w:rPr>
          <w:rFonts w:ascii="David" w:hAnsi="David" w:hint="cs"/>
          <w:sz w:val="26"/>
          <w:szCs w:val="26"/>
          <w:rtl/>
        </w:rPr>
        <w:t>להמתין</w:t>
      </w:r>
      <w:r w:rsidR="00600D5C">
        <w:rPr>
          <w:rFonts w:ascii="David" w:hAnsi="David" w:hint="cs"/>
          <w:sz w:val="26"/>
          <w:szCs w:val="26"/>
          <w:rtl/>
        </w:rPr>
        <w:t xml:space="preserve"> </w:t>
      </w:r>
      <w:r>
        <w:rPr>
          <w:rFonts w:ascii="David" w:hAnsi="David"/>
          <w:sz w:val="26"/>
          <w:szCs w:val="26"/>
          <w:rtl/>
        </w:rPr>
        <w:t>למערערים ולבא-כוחם מכוח הסכמות עלומות שלא הובאו לידיעת בית המשפט כדין מבעוד מועד.</w:t>
      </w:r>
    </w:p>
    <w:p w:rsidR="00DF61C4" w:rsidRDefault="00DF61C4" w:rsidP="00DF61C4">
      <w:pPr>
        <w:numPr>
          <w:ilvl w:val="0"/>
          <w:numId w:val="4"/>
        </w:numPr>
        <w:spacing w:after="240" w:line="360" w:lineRule="auto"/>
        <w:jc w:val="both"/>
        <w:rPr>
          <w:rFonts w:ascii="David" w:hAnsi="David"/>
          <w:sz w:val="26"/>
          <w:szCs w:val="26"/>
        </w:rPr>
      </w:pPr>
      <w:r w:rsidRPr="00600D5C">
        <w:rPr>
          <w:rFonts w:ascii="David" w:hAnsi="David"/>
          <w:b/>
          <w:bCs/>
          <w:sz w:val="26"/>
          <w:szCs w:val="26"/>
          <w:rtl/>
        </w:rPr>
        <w:t>כלל האמור משדר זלזול עמוק בבית המשפט ובנסיבות אלו אין בידי לקבל את היעדרות המערערים ובא-כוחם</w:t>
      </w:r>
      <w:r>
        <w:rPr>
          <w:rFonts w:ascii="David" w:hAnsi="David"/>
          <w:sz w:val="26"/>
          <w:szCs w:val="26"/>
          <w:rtl/>
        </w:rPr>
        <w:t>.</w:t>
      </w:r>
    </w:p>
    <w:p w:rsidR="00DF61C4" w:rsidRDefault="00DF61C4" w:rsidP="00DF61C4">
      <w:pPr>
        <w:numPr>
          <w:ilvl w:val="0"/>
          <w:numId w:val="4"/>
        </w:numPr>
        <w:spacing w:after="240" w:line="360" w:lineRule="auto"/>
        <w:jc w:val="both"/>
        <w:rPr>
          <w:rFonts w:ascii="David" w:hAnsi="David"/>
          <w:sz w:val="26"/>
          <w:szCs w:val="26"/>
        </w:rPr>
      </w:pPr>
      <w:r>
        <w:rPr>
          <w:rFonts w:ascii="David" w:hAnsi="David"/>
          <w:sz w:val="26"/>
          <w:szCs w:val="26"/>
          <w:rtl/>
        </w:rPr>
        <w:t xml:space="preserve">על זאת יש להוסיף כי מסקירת תצהירי המערערים עולה כי סיכויי ההליך נמוכים ובכל מקרה אינם מצדיקים את ביטול פסק הדין. כידוע, הנטל בערעור מס כגון הערעור דנן מוטל כולו על המערערים. שעה שנפסלו ספרי המערערת, מדובר בנטל כבד במיוחד ואין די בטענות בעלמא על מנת להרימו (וראו למשל ע"א 8082/09 </w:t>
      </w:r>
      <w:r>
        <w:rPr>
          <w:rFonts w:ascii="David" w:hAnsi="David"/>
          <w:b/>
          <w:bCs/>
          <w:sz w:val="26"/>
          <w:szCs w:val="26"/>
          <w:rtl/>
        </w:rPr>
        <w:t>שקלים נ' פקיד שומה ירושלים 3</w:t>
      </w:r>
      <w:r>
        <w:rPr>
          <w:rFonts w:ascii="David" w:hAnsi="David"/>
          <w:sz w:val="26"/>
          <w:szCs w:val="26"/>
          <w:rtl/>
        </w:rPr>
        <w:t xml:space="preserve">, פס' 4 (27.11.2011)). דא עקא שהתצהירים שהוגשו מטעם המערערים נעדרים אסמכתאות הנוגעות ללב העניין והוא – האם החשבוניות שקיבלה המערערת מקבלני המשנה והתשלומים שלכאורה שילמה להם אכן שיקפו הוצאות אמת כנגד השירותים שהוענקו לה. </w:t>
      </w:r>
    </w:p>
    <w:p w:rsidR="00DF61C4" w:rsidRDefault="00DF61C4" w:rsidP="00DF61C4">
      <w:pPr>
        <w:numPr>
          <w:ilvl w:val="0"/>
          <w:numId w:val="4"/>
        </w:numPr>
        <w:spacing w:after="240" w:line="360" w:lineRule="auto"/>
        <w:jc w:val="both"/>
        <w:rPr>
          <w:rFonts w:ascii="David" w:hAnsi="David"/>
          <w:sz w:val="26"/>
          <w:szCs w:val="26"/>
        </w:rPr>
      </w:pPr>
      <w:r>
        <w:rPr>
          <w:rFonts w:ascii="David" w:hAnsi="David"/>
          <w:sz w:val="26"/>
          <w:szCs w:val="26"/>
          <w:rtl/>
        </w:rPr>
        <w:t xml:space="preserve">טענות המערערת בתצהיריה, כמו גם בהשגה שהגישה ושעל בסיסה נדון הערעור, מתרכזות בעבודתה שלה ובשירותים שהיא עצמה לכאורה העניקה ללקוחותיה, ולא בעבודות ובשירותים שלכאורה העניקו לה קבלני המשנה. מלבד תצהיר קצר ולקוני, בן שני סעיפים ושאינו נתמך באסמכתאות, של מר רביעה כמאל (שעל פי רישומי המשיב לא עבד אצל אף לא אחד מקבלני המשנה), המערערים לא סיפקו כל ראיה רלוונטית לשירותים שסיפקו קבלני המשנה, לא כל שכן ראיות מבוססות וחותכות. לא למותר גם לציין שחלק ניכר מטענות המערערים עומד בניגוד לכתבי אישום ולתמלילי החקירות וסותר פסקי דין והחלטות של מותבים אחרים (ע"מ 32145-06-19 (מחוזי מרכז) </w:t>
      </w:r>
      <w:r>
        <w:rPr>
          <w:rFonts w:ascii="David" w:hAnsi="David"/>
          <w:b/>
          <w:bCs/>
          <w:sz w:val="26"/>
          <w:szCs w:val="26"/>
          <w:rtl/>
        </w:rPr>
        <w:t>אבו גאמע נ' מנהל מע"מ – פשיעה חמורה</w:t>
      </w:r>
      <w:r>
        <w:rPr>
          <w:rFonts w:ascii="David" w:hAnsi="David"/>
          <w:sz w:val="26"/>
          <w:szCs w:val="26"/>
          <w:rtl/>
        </w:rPr>
        <w:t xml:space="preserve"> (6.2.2022); ת"פ 45318-02-18 </w:t>
      </w:r>
      <w:r>
        <w:rPr>
          <w:rFonts w:ascii="David" w:hAnsi="David"/>
          <w:b/>
          <w:bCs/>
          <w:sz w:val="26"/>
          <w:szCs w:val="26"/>
          <w:rtl/>
        </w:rPr>
        <w:t>מדינת ישראל נ' אבו נאג'י</w:t>
      </w:r>
      <w:r>
        <w:rPr>
          <w:rFonts w:ascii="David" w:hAnsi="David"/>
          <w:sz w:val="26"/>
          <w:szCs w:val="26"/>
          <w:rtl/>
        </w:rPr>
        <w:t xml:space="preserve"> (24.4.2018)). </w:t>
      </w:r>
    </w:p>
    <w:p w:rsidR="00DF61C4" w:rsidRDefault="00DF61C4" w:rsidP="00DF61C4">
      <w:pPr>
        <w:numPr>
          <w:ilvl w:val="0"/>
          <w:numId w:val="4"/>
        </w:numPr>
        <w:spacing w:after="240" w:line="360" w:lineRule="auto"/>
        <w:jc w:val="both"/>
        <w:rPr>
          <w:rFonts w:ascii="David" w:hAnsi="David"/>
          <w:sz w:val="26"/>
          <w:szCs w:val="26"/>
        </w:rPr>
      </w:pPr>
      <w:r>
        <w:rPr>
          <w:rFonts w:ascii="David" w:hAnsi="David"/>
          <w:sz w:val="26"/>
          <w:szCs w:val="26"/>
          <w:rtl/>
        </w:rPr>
        <w:t>מן הצד השני, המערערים אפילו לא התייחסו לסיכויי ההליך במסגרת הבקשה דנן ונדמה שלא בכדי.</w:t>
      </w:r>
    </w:p>
    <w:p w:rsidR="00DF61C4" w:rsidRDefault="00DF61C4" w:rsidP="00DF61C4">
      <w:pPr>
        <w:numPr>
          <w:ilvl w:val="0"/>
          <w:numId w:val="4"/>
        </w:numPr>
        <w:spacing w:after="240" w:line="360" w:lineRule="auto"/>
        <w:jc w:val="both"/>
        <w:rPr>
          <w:rFonts w:ascii="David" w:hAnsi="David"/>
          <w:sz w:val="26"/>
          <w:szCs w:val="26"/>
        </w:rPr>
      </w:pPr>
      <w:r>
        <w:rPr>
          <w:rFonts w:ascii="David" w:hAnsi="David"/>
          <w:sz w:val="26"/>
          <w:szCs w:val="26"/>
          <w:rtl/>
        </w:rPr>
        <w:t xml:space="preserve">סיכומם של דברים, על אף שהגישה הנוהגת בעת בחינת בקשות לביטול פסקי דין, שניתנו בהיעדר התייצבות, היא ליברלית (עניין </w:t>
      </w:r>
      <w:r>
        <w:rPr>
          <w:rFonts w:ascii="David" w:hAnsi="David"/>
          <w:b/>
          <w:bCs/>
          <w:sz w:val="26"/>
          <w:szCs w:val="26"/>
          <w:rtl/>
        </w:rPr>
        <w:t>איטח</w:t>
      </w:r>
      <w:r>
        <w:rPr>
          <w:rFonts w:ascii="David" w:hAnsi="David"/>
          <w:sz w:val="26"/>
          <w:szCs w:val="26"/>
          <w:rtl/>
        </w:rPr>
        <w:t xml:space="preserve">, פס' 7), מצאתי בעניין זה לחרוג מן האמור ואני סבורה שדין הבקשה להידחות. </w:t>
      </w:r>
    </w:p>
    <w:p w:rsidR="00600D5C" w:rsidRDefault="00DF61C4" w:rsidP="00600D5C">
      <w:pPr>
        <w:spacing w:after="240" w:line="360" w:lineRule="auto"/>
        <w:ind w:left="360"/>
        <w:jc w:val="both"/>
        <w:rPr>
          <w:rFonts w:ascii="David" w:hAnsi="David"/>
          <w:sz w:val="26"/>
          <w:szCs w:val="26"/>
          <w:rtl/>
        </w:rPr>
      </w:pPr>
      <w:r>
        <w:rPr>
          <w:rFonts w:ascii="David" w:hAnsi="David"/>
          <w:sz w:val="26"/>
          <w:szCs w:val="26"/>
          <w:rtl/>
        </w:rPr>
        <w:lastRenderedPageBreak/>
        <w:t>לאור זאת, מתייתר הצורך לדון בבקשה לפסלות המותב. פסק הדין סיים את ההתדיינות בין הצדדים ובמקרים שכאלה על הטוען טענת פסלות להעלותה במסגרת ערכאת הערעור, ככל שימצא לנכון. בהקשר זה אפנה את תשומת הלב לפסקה האחרונה שבהחלטתי מתאריך 14.6.2023.</w:t>
      </w:r>
      <w:r w:rsidR="00600D5C">
        <w:rPr>
          <w:rFonts w:ascii="David" w:hAnsi="David" w:hint="cs"/>
          <w:sz w:val="26"/>
          <w:szCs w:val="26"/>
          <w:rtl/>
        </w:rPr>
        <w:t xml:space="preserve"> </w:t>
      </w:r>
    </w:p>
    <w:p w:rsidR="00DF61C4" w:rsidRPr="00D13851" w:rsidRDefault="00DF61C4" w:rsidP="00600D5C">
      <w:pPr>
        <w:spacing w:after="240" w:line="360" w:lineRule="auto"/>
        <w:ind w:left="360"/>
        <w:jc w:val="both"/>
        <w:rPr>
          <w:rFonts w:ascii="David" w:hAnsi="David"/>
          <w:sz w:val="26"/>
          <w:szCs w:val="26"/>
        </w:rPr>
      </w:pPr>
      <w:r w:rsidRPr="00D13851">
        <w:rPr>
          <w:rFonts w:ascii="David" w:hAnsi="David"/>
          <w:sz w:val="26"/>
          <w:szCs w:val="26"/>
          <w:rtl/>
        </w:rPr>
        <w:t>משלא התבקשה תשובה, אין צו להוצאות.</w:t>
      </w:r>
    </w:p>
    <w:p w:rsidR="0002177A" w:rsidRPr="00DF61C4" w:rsidRDefault="0002177A" w:rsidP="00420E12">
      <w:pPr>
        <w:spacing w:line="360" w:lineRule="auto"/>
        <w:jc w:val="both"/>
        <w:rPr>
          <w:rFonts w:ascii="Arial" w:hAnsi="Arial"/>
          <w:rtl/>
        </w:rPr>
      </w:pPr>
    </w:p>
    <w:p w:rsidR="0002177A" w:rsidRDefault="0002177A" w:rsidP="00420E12">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1424607196"/>
          <w:text w:multiLine="1"/>
        </w:sdtPr>
        <w:sdtEndPr/>
        <w:sdtContent>
          <w:r>
            <w:rPr>
              <w:rFonts w:ascii="Arial" w:hAnsi="Arial"/>
              <w:rtl/>
            </w:rPr>
            <w:t>ב' תמוז תשפ"ג</w:t>
          </w:r>
        </w:sdtContent>
      </w:sdt>
      <w:r>
        <w:rPr>
          <w:rFonts w:ascii="Arial" w:hAnsi="Arial"/>
          <w:rtl/>
        </w:rPr>
        <w:t xml:space="preserve">, </w:t>
      </w:r>
      <w:sdt>
        <w:sdtPr>
          <w:rPr>
            <w:rtl/>
          </w:rPr>
          <w:alias w:val="1456"/>
          <w:tag w:val="1456"/>
          <w:id w:val="-1331525173"/>
          <w:text w:multiLine="1"/>
        </w:sdtPr>
        <w:sdtEndPr/>
        <w:sdtContent>
          <w:r>
            <w:rPr>
              <w:rFonts w:ascii="Arial" w:hAnsi="Arial"/>
              <w:rtl/>
            </w:rPr>
            <w:t>21 יוני 2023</w:t>
          </w:r>
        </w:sdtContent>
      </w:sdt>
      <w:r>
        <w:rPr>
          <w:rFonts w:ascii="Arial" w:hAnsi="Arial"/>
          <w:rtl/>
        </w:rPr>
        <w:t>, בהעדר הצדדים.</w:t>
      </w:r>
    </w:p>
    <w:p w:rsidR="0002177A" w:rsidRDefault="00375F47" w:rsidP="009C1537">
      <w:pPr>
        <w:tabs>
          <w:tab w:val="left" w:pos="2553"/>
        </w:tabs>
        <w:spacing w:line="360" w:lineRule="auto"/>
        <w:jc w:val="center"/>
        <w:rPr>
          <w:rtl/>
        </w:rPr>
      </w:pPr>
      <w:r>
        <w:rPr>
          <w:rFonts w:hint="cs"/>
          <w:rtl/>
        </w:rPr>
        <w:tab/>
      </w:r>
      <w:sdt>
        <w:sdtPr>
          <w:rPr>
            <w:rFonts w:hint="cs"/>
            <w:rtl/>
          </w:rPr>
          <w:alias w:val="2045"/>
          <w:tag w:val="2045"/>
          <w:id w:val="1701280785"/>
          <w:placeholder>
            <w:docPart w:val="647C5F5A17CE48D5BFFBFC7D0687C4D8"/>
          </w:placeholder>
          <w:showingPlcHdr/>
          <w:text w:multiLine="1"/>
        </w:sdtPr>
        <w:sdtEndPr/>
        <w:sdtContent>
          <w:r w:rsidR="009C1537">
            <w:rPr>
              <w:rStyle w:val="aa"/>
              <w:rFonts w:hint="cs"/>
              <w:rtl/>
            </w:rPr>
            <w:t xml:space="preserve">    </w:t>
          </w:r>
        </w:sdtContent>
      </w:sdt>
      <w:r w:rsidR="009C1537">
        <w:rPr>
          <w:rtl/>
        </w:rPr>
        <w:t xml:space="preserve"> </w:t>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2122949885"/>
      </w:sdtPr>
      <w:sdtEndPr/>
      <w:sdtContent>
        <w:p w:rsidR="006377A9" w:rsidRDefault="00313FFF">
          <w:r>
            <w:rPr>
              <w:noProof/>
            </w:rPr>
            <w:drawing>
              <wp:inline distT="0" distB="0" distL="0" distR="0" wp14:editId="50D07946">
                <wp:extent cx="1371600" cy="7715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71600" cy="771525"/>
                        </a:xfrm>
                        <a:prstGeom prst="rect">
                          <a:avLst/>
                        </a:prstGeom>
                      </pic:spPr>
                    </pic:pic>
                  </a:graphicData>
                </a:graphic>
              </wp:inline>
            </w:drawing>
          </w:r>
        </w:p>
      </w:sdtContent>
    </w:sdt>
    <w:sectPr w:rsidR="006377A9" w:rsidSect="00E67EFF">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DFF" w:rsidRDefault="006C1DFF">
      <w:r>
        <w:separator/>
      </w:r>
    </w:p>
  </w:endnote>
  <w:endnote w:type="continuationSeparator" w:id="0">
    <w:p w:rsidR="006C1DFF" w:rsidRDefault="006C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CE68C8">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4"/>
      <w:jc w:val="center"/>
    </w:pPr>
    <w:r>
      <w:rPr>
        <w:rtl/>
      </w:rPr>
      <w:t>עמוד</w:t>
    </w:r>
    <w:r>
      <w:t xml:space="preserve"> </w:t>
    </w:r>
    <w:r w:rsidR="00CE68C8">
      <w:fldChar w:fldCharType="begin"/>
    </w:r>
    <w:r>
      <w:instrText xml:space="preserve"> PAGE </w:instrText>
    </w:r>
    <w:r w:rsidR="00CE68C8">
      <w:fldChar w:fldCharType="separate"/>
    </w:r>
    <w:r w:rsidR="004E0E3F">
      <w:rPr>
        <w:noProof/>
        <w:rtl/>
      </w:rPr>
      <w:t>1</w:t>
    </w:r>
    <w:r w:rsidR="00CE68C8">
      <w:fldChar w:fldCharType="end"/>
    </w:r>
    <w:r>
      <w:t xml:space="preserve"> </w:t>
    </w:r>
    <w:r>
      <w:rPr>
        <w:rtl/>
      </w:rPr>
      <w:t>מתוך</w:t>
    </w:r>
    <w:r>
      <w:t xml:space="preserve"> </w:t>
    </w:r>
    <w:r w:rsidR="00CE68C8">
      <w:fldChar w:fldCharType="begin"/>
    </w:r>
    <w:r>
      <w:instrText xml:space="preserve"> NUMPAGES </w:instrText>
    </w:r>
    <w:r w:rsidR="00CE68C8">
      <w:fldChar w:fldCharType="separate"/>
    </w:r>
    <w:r w:rsidR="004E0E3F">
      <w:rPr>
        <w:noProof/>
        <w:rtl/>
      </w:rPr>
      <w:t>6</w:t>
    </w:r>
    <w:r w:rsidR="00CE68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1C4" w:rsidRDefault="00DF61C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DFF" w:rsidRDefault="006C1DFF">
      <w:r>
        <w:separator/>
      </w:r>
    </w:p>
  </w:footnote>
  <w:footnote w:type="continuationSeparator" w:id="0">
    <w:p w:rsidR="006C1DFF" w:rsidRDefault="006C1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1C4" w:rsidRDefault="00DF61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9B3B23">
      <w:rPr>
        <w:rFonts w:cs="FrankRuehl"/>
        <w:noProof/>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774"/>
      <w:gridCol w:w="1024"/>
      <w:gridCol w:w="3509"/>
    </w:tblGrid>
    <w:tr w:rsidR="0002177A">
      <w:trPr>
        <w:trHeight w:hRule="exact" w:val="418"/>
        <w:jc w:val="center"/>
      </w:trPr>
      <w:tc>
        <w:tcPr>
          <w:tcW w:w="8721" w:type="dxa"/>
          <w:gridSpan w:val="3"/>
        </w:tcPr>
        <w:p w:rsidR="0002177A" w:rsidRPr="00420E12" w:rsidRDefault="008F1ABF">
          <w:pPr>
            <w:pStyle w:val="a3"/>
            <w:jc w:val="center"/>
            <w:rPr>
              <w:rFonts w:ascii="Tahoma" w:hAnsi="Tahoma"/>
              <w:b/>
              <w:bCs/>
              <w:color w:val="000080"/>
              <w:sz w:val="32"/>
              <w:szCs w:val="32"/>
              <w:rtl/>
            </w:rPr>
          </w:pPr>
          <w:r w:rsidRPr="00420E12">
            <w:rPr>
              <w:rFonts w:ascii="Tahoma" w:hAnsi="Tahoma" w:hint="cs"/>
              <w:b/>
              <w:bCs/>
              <w:color w:val="000080"/>
              <w:sz w:val="32"/>
              <w:szCs w:val="32"/>
              <w:rtl/>
            </w:rPr>
            <w:t>בית המשפט המחוזי בתל אביב - יפו</w:t>
          </w:r>
        </w:p>
      </w:tc>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1081642394"/>
          <w:text/>
        </w:sdtPr>
        <w:sdtEndPr/>
        <w:sdtContent>
          <w:tc>
            <w:tcPr>
              <w:tcW w:w="3672" w:type="dxa"/>
            </w:tcPr>
            <w:p w:rsidR="0002177A" w:rsidRDefault="00375F47">
              <w:pPr>
                <w:pStyle w:val="a3"/>
                <w:jc w:val="center"/>
                <w:rPr>
                  <w:b/>
                  <w:bCs/>
                  <w:sz w:val="26"/>
                  <w:szCs w:val="26"/>
                  <w:rtl/>
                </w:rPr>
              </w:pPr>
              <w:r>
                <w:rPr>
                  <w:b/>
                  <w:bCs/>
                  <w:sz w:val="26"/>
                  <w:szCs w:val="26"/>
                  <w:rtl/>
                </w:rPr>
                <w:t>21 יוני 2023</w:t>
              </w:r>
            </w:p>
          </w:tc>
        </w:sdtContent>
      </w:sdt>
    </w:tr>
    <w:tr w:rsidR="0002177A">
      <w:trPr>
        <w:trHeight w:val="337"/>
        <w:jc w:val="center"/>
      </w:trPr>
      <w:tc>
        <w:tcPr>
          <w:tcW w:w="8721" w:type="dxa"/>
          <w:gridSpan w:val="3"/>
        </w:tcPr>
        <w:p w:rsidR="0002177A" w:rsidRPr="00DF61C4" w:rsidRDefault="006C1DFF" w:rsidP="00DF61C4">
          <w:pPr>
            <w:rPr>
              <w:b/>
              <w:bCs/>
              <w:sz w:val="26"/>
              <w:szCs w:val="26"/>
              <w:rtl/>
            </w:rPr>
          </w:pPr>
          <w:sdt>
            <w:sdtPr>
              <w:rPr>
                <w:rtl/>
              </w:rPr>
              <w:alias w:val="1170"/>
              <w:tag w:val="1170"/>
              <w:id w:val="-1592229859"/>
              <w:text w:multiLine="1"/>
            </w:sdtPr>
            <w:sdtEndPr/>
            <w:sdtContent>
              <w:r w:rsidR="00E67EFF">
                <w:rPr>
                  <w:b/>
                  <w:bCs/>
                  <w:sz w:val="26"/>
                  <w:szCs w:val="26"/>
                  <w:rtl/>
                </w:rPr>
                <w:t>ע"מ</w:t>
              </w:r>
            </w:sdtContent>
          </w:sdt>
          <w:r w:rsidR="00375F47">
            <w:rPr>
              <w:rFonts w:hint="cs"/>
              <w:b/>
              <w:bCs/>
              <w:sz w:val="26"/>
              <w:szCs w:val="26"/>
              <w:rtl/>
            </w:rPr>
            <w:t xml:space="preserve"> </w:t>
          </w:r>
          <w:sdt>
            <w:sdtPr>
              <w:rPr>
                <w:rtl/>
              </w:rPr>
              <w:alias w:val="1171"/>
              <w:tag w:val="1171"/>
              <w:id w:val="739214549"/>
              <w:text w:multiLine="1"/>
            </w:sdtPr>
            <w:sdtEndPr/>
            <w:sdtContent>
              <w:r w:rsidR="00E67EFF">
                <w:rPr>
                  <w:b/>
                  <w:bCs/>
                  <w:sz w:val="26"/>
                  <w:szCs w:val="26"/>
                  <w:rtl/>
                </w:rPr>
                <w:t>38447-04-21</w:t>
              </w:r>
            </w:sdtContent>
          </w:sdt>
          <w:r w:rsidR="00375F47">
            <w:rPr>
              <w:rFonts w:hint="cs"/>
              <w:b/>
              <w:bCs/>
              <w:sz w:val="26"/>
              <w:szCs w:val="26"/>
              <w:rtl/>
            </w:rPr>
            <w:t xml:space="preserve"> </w:t>
          </w:r>
          <w:sdt>
            <w:sdtPr>
              <w:rPr>
                <w:b/>
                <w:bCs/>
                <w:sz w:val="26"/>
                <w:szCs w:val="26"/>
                <w:rtl/>
              </w:rPr>
              <w:alias w:val="1172"/>
              <w:tag w:val="1172"/>
              <w:id w:val="946972896"/>
              <w:text w:multiLine="1"/>
            </w:sdtPr>
            <w:sdtEndPr/>
            <w:sdtContent>
              <w:r w:rsidR="00E67EFF" w:rsidRPr="00DF61C4">
                <w:rPr>
                  <w:b/>
                  <w:bCs/>
                  <w:sz w:val="26"/>
                  <w:szCs w:val="26"/>
                  <w:rtl/>
                </w:rPr>
                <w:t xml:space="preserve">כנפי עטלף שירותי אבטחה בע"מ ואח' נ' פקיד שומה </w:t>
              </w:r>
              <w:r w:rsidR="00DF61C4" w:rsidRPr="00DF61C4">
                <w:rPr>
                  <w:rFonts w:hint="cs"/>
                  <w:b/>
                  <w:bCs/>
                  <w:sz w:val="26"/>
                  <w:szCs w:val="26"/>
                  <w:rtl/>
                </w:rPr>
                <w:t>יחידה ארצית לשומה</w:t>
              </w:r>
            </w:sdtContent>
          </w:sdt>
        </w:p>
        <w:p w:rsidR="0002177A" w:rsidRDefault="0002177A">
          <w:pPr>
            <w:rPr>
              <w:rtl/>
            </w:rPr>
          </w:pPr>
        </w:p>
      </w:tc>
    </w:tr>
  </w:tbl>
  <w:p w:rsidR="0002177A" w:rsidRDefault="0002177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1C4" w:rsidRDefault="00DF61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7A"/>
    <w:rsid w:val="0002177A"/>
    <w:rsid w:val="00047407"/>
    <w:rsid w:val="00071856"/>
    <w:rsid w:val="001E77F3"/>
    <w:rsid w:val="002D1083"/>
    <w:rsid w:val="002F2B2B"/>
    <w:rsid w:val="003045BC"/>
    <w:rsid w:val="00313FFF"/>
    <w:rsid w:val="00347822"/>
    <w:rsid w:val="0035512A"/>
    <w:rsid w:val="00375F47"/>
    <w:rsid w:val="0040244A"/>
    <w:rsid w:val="00420E12"/>
    <w:rsid w:val="004E0E3F"/>
    <w:rsid w:val="004F0EEF"/>
    <w:rsid w:val="005179AC"/>
    <w:rsid w:val="005C2A9A"/>
    <w:rsid w:val="00600D5C"/>
    <w:rsid w:val="006124F1"/>
    <w:rsid w:val="006377A9"/>
    <w:rsid w:val="00694645"/>
    <w:rsid w:val="006A5FC7"/>
    <w:rsid w:val="006C0C79"/>
    <w:rsid w:val="006C1DFF"/>
    <w:rsid w:val="006E4AD7"/>
    <w:rsid w:val="00703346"/>
    <w:rsid w:val="00766065"/>
    <w:rsid w:val="00815B19"/>
    <w:rsid w:val="008168D9"/>
    <w:rsid w:val="008F1ABF"/>
    <w:rsid w:val="008F3A58"/>
    <w:rsid w:val="00964459"/>
    <w:rsid w:val="009B3B23"/>
    <w:rsid w:val="009C1537"/>
    <w:rsid w:val="009F2788"/>
    <w:rsid w:val="00A054F6"/>
    <w:rsid w:val="00A33606"/>
    <w:rsid w:val="00AC7E32"/>
    <w:rsid w:val="00B3583D"/>
    <w:rsid w:val="00BA470F"/>
    <w:rsid w:val="00BA65E6"/>
    <w:rsid w:val="00C13A12"/>
    <w:rsid w:val="00C93CEB"/>
    <w:rsid w:val="00CE68C8"/>
    <w:rsid w:val="00D13851"/>
    <w:rsid w:val="00D26926"/>
    <w:rsid w:val="00DF03B1"/>
    <w:rsid w:val="00DF61C4"/>
    <w:rsid w:val="00E444F8"/>
    <w:rsid w:val="00E64429"/>
    <w:rsid w:val="00E67EFF"/>
    <w:rsid w:val="00EC5735"/>
    <w:rsid w:val="00F658B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70260A-08C9-4B16-837F-30081095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9C1537"/>
    <w:rPr>
      <w:color w:val="808080"/>
    </w:rPr>
  </w:style>
  <w:style w:type="paragraph" w:styleId="ab">
    <w:name w:val="List Paragraph"/>
    <w:basedOn w:val="a"/>
    <w:uiPriority w:val="34"/>
    <w:qFormat/>
    <w:rsid w:val="00DF61C4"/>
    <w:pPr>
      <w:ind w:left="720"/>
      <w:contextualSpacing/>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711267118">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47C5F5A17CE48D5BFFBFC7D0687C4D8"/>
        <w:category>
          <w:name w:val="כללי"/>
          <w:gallery w:val="placeholder"/>
        </w:category>
        <w:types>
          <w:type w:val="bbPlcHdr"/>
        </w:types>
        <w:behaviors>
          <w:behavior w:val="content"/>
        </w:behaviors>
        <w:guid w:val="{FD49B9D8-ABA6-45B6-AF0C-DE34E3603AA7}"/>
      </w:docPartPr>
      <w:docPartBody>
        <w:p w:rsidR="00200AFE" w:rsidRDefault="00D85A54" w:rsidP="00D85A54">
          <w:pPr>
            <w:pStyle w:val="647C5F5A17CE48D5BFFBFC7D0687C4D83"/>
          </w:pPr>
          <w:r>
            <w:rPr>
              <w:rStyle w:val="a3"/>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C5"/>
    <w:rsid w:val="00200AFE"/>
    <w:rsid w:val="005D5A23"/>
    <w:rsid w:val="0074266F"/>
    <w:rsid w:val="007D5AC5"/>
    <w:rsid w:val="00D85A5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5A54"/>
    <w:rPr>
      <w:color w:val="808080"/>
    </w:rPr>
  </w:style>
  <w:style w:type="paragraph" w:customStyle="1" w:styleId="647C5F5A17CE48D5BFFBFC7D0687C4D8">
    <w:name w:val="647C5F5A17CE48D5BFFBFC7D0687C4D8"/>
    <w:rsid w:val="005D5A23"/>
    <w:pPr>
      <w:bidi/>
      <w:spacing w:after="0" w:line="240" w:lineRule="auto"/>
    </w:pPr>
    <w:rPr>
      <w:rFonts w:ascii="Times New Roman" w:eastAsia="Times New Roman" w:hAnsi="Times New Roman" w:cs="David"/>
      <w:sz w:val="24"/>
      <w:szCs w:val="24"/>
    </w:rPr>
  </w:style>
  <w:style w:type="paragraph" w:customStyle="1" w:styleId="647C5F5A17CE48D5BFFBFC7D0687C4D81">
    <w:name w:val="647C5F5A17CE48D5BFFBFC7D0687C4D81"/>
    <w:rsid w:val="005D5A23"/>
    <w:pPr>
      <w:bidi/>
      <w:spacing w:after="0" w:line="240" w:lineRule="auto"/>
    </w:pPr>
    <w:rPr>
      <w:rFonts w:ascii="Times New Roman" w:eastAsia="Times New Roman" w:hAnsi="Times New Roman" w:cs="David"/>
      <w:sz w:val="24"/>
      <w:szCs w:val="24"/>
    </w:rPr>
  </w:style>
  <w:style w:type="paragraph" w:customStyle="1" w:styleId="647C5F5A17CE48D5BFFBFC7D0687C4D82">
    <w:name w:val="647C5F5A17CE48D5BFFBFC7D0687C4D82"/>
    <w:rsid w:val="00200AFE"/>
    <w:pPr>
      <w:bidi/>
      <w:spacing w:after="0" w:line="240" w:lineRule="auto"/>
    </w:pPr>
    <w:rPr>
      <w:rFonts w:ascii="Times New Roman" w:eastAsia="Times New Roman" w:hAnsi="Times New Roman" w:cs="David"/>
      <w:sz w:val="24"/>
      <w:szCs w:val="24"/>
    </w:rPr>
  </w:style>
  <w:style w:type="paragraph" w:customStyle="1" w:styleId="647C5F5A17CE48D5BFFBFC7D0687C4D83">
    <w:name w:val="647C5F5A17CE48D5BFFBFC7D0687C4D83"/>
    <w:rsid w:val="00D85A54"/>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1529</Words>
  <Characters>7646</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2023-06-29T12:38:00Z</dcterms:created>
  <dcterms:modified xsi:type="dcterms:W3CDTF">2023-06-29T12:38:00Z</dcterms:modified>
</cp:coreProperties>
</file>